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3FF0C" w14:textId="77777777" w:rsidR="00507694" w:rsidRDefault="00507694">
      <w:pPr>
        <w:rPr>
          <w:rtl/>
        </w:rPr>
      </w:pPr>
    </w:p>
    <w:tbl>
      <w:tblPr>
        <w:tblStyle w:val="a9"/>
        <w:bidiVisual/>
        <w:tblW w:w="8820" w:type="dxa"/>
        <w:jc w:val="center"/>
        <w:tblLook w:val="01E0" w:firstRow="1" w:lastRow="1" w:firstColumn="1" w:lastColumn="1" w:noHBand="0" w:noVBand="0"/>
      </w:tblPr>
      <w:tblGrid>
        <w:gridCol w:w="923"/>
        <w:gridCol w:w="3219"/>
        <w:gridCol w:w="4678"/>
      </w:tblGrid>
      <w:tr w:rsidR="00507694" w:rsidRPr="00822550" w14:paraId="0138C2FE" w14:textId="77777777">
        <w:trPr>
          <w:trHeight w:val="295"/>
          <w:jc w:val="center"/>
        </w:trPr>
        <w:tc>
          <w:tcPr>
            <w:tcW w:w="923" w:type="dxa"/>
            <w:tcBorders>
              <w:top w:val="nil"/>
              <w:left w:val="nil"/>
              <w:bottom w:val="nil"/>
              <w:right w:val="nil"/>
            </w:tcBorders>
          </w:tcPr>
          <w:p w14:paraId="0C0C4348" w14:textId="77777777" w:rsidR="00507694" w:rsidRPr="00822550" w:rsidRDefault="00D33BE7">
            <w:pPr>
              <w:jc w:val="both"/>
              <w:rPr>
                <w:rFonts w:ascii="David" w:hAnsi="David"/>
                <w:sz w:val="26"/>
                <w:szCs w:val="26"/>
              </w:rPr>
            </w:pPr>
            <w:r>
              <w:rPr>
                <w:rFonts w:ascii="David" w:hAnsi="David" w:hint="cs"/>
                <w:sz w:val="26"/>
                <w:szCs w:val="26"/>
                <w:rtl/>
              </w:rPr>
              <w:t>ל</w:t>
            </w:r>
            <w:r w:rsidR="00684E84" w:rsidRPr="00822550">
              <w:rPr>
                <w:rFonts w:ascii="David" w:hAnsi="David"/>
                <w:sz w:val="26"/>
                <w:szCs w:val="26"/>
                <w:rtl/>
              </w:rPr>
              <w:t xml:space="preserve">פני </w:t>
            </w:r>
          </w:p>
        </w:tc>
        <w:tc>
          <w:tcPr>
            <w:tcW w:w="7897" w:type="dxa"/>
            <w:gridSpan w:val="2"/>
            <w:tcBorders>
              <w:top w:val="nil"/>
              <w:left w:val="nil"/>
              <w:bottom w:val="nil"/>
              <w:right w:val="nil"/>
            </w:tcBorders>
          </w:tcPr>
          <w:p w14:paraId="4D7DE56A" w14:textId="77777777" w:rsidR="00507694" w:rsidRPr="00822550" w:rsidRDefault="00507694">
            <w:pPr>
              <w:jc w:val="both"/>
              <w:rPr>
                <w:rFonts w:ascii="David" w:hAnsi="David"/>
                <w:sz w:val="26"/>
                <w:szCs w:val="26"/>
              </w:rPr>
            </w:pPr>
          </w:p>
          <w:p w14:paraId="71D6FF8D" w14:textId="4F80AE6F"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615122647"/>
                <w:text w:multiLine="1"/>
              </w:sdtPr>
              <w:sdtEndPr/>
              <w:sdtContent>
                <w:r>
                  <w:rPr>
                    <w:rFonts w:ascii="David" w:hAnsi="David"/>
                    <w:b/>
                    <w:bCs/>
                    <w:sz w:val="26"/>
                    <w:szCs w:val="26"/>
                    <w:rtl/>
                  </w:rPr>
                  <w:t>שופט, סגן הנשיאה</w:t>
                </w:r>
              </w:sdtContent>
            </w:sdt>
            <w:r w:rsidR="00684E84" w:rsidRPr="00822550">
              <w:rPr>
                <w:rFonts w:ascii="David" w:hAnsi="David"/>
                <w:b/>
                <w:bCs/>
                <w:sz w:val="26"/>
                <w:szCs w:val="26"/>
                <w:rtl/>
              </w:rPr>
              <w:t xml:space="preserve">  </w:t>
            </w:r>
            <w:sdt>
              <w:sdtPr>
                <w:rPr>
                  <w:rFonts w:ascii="David" w:hAnsi="David"/>
                  <w:b/>
                  <w:bCs/>
                  <w:sz w:val="26"/>
                  <w:szCs w:val="26"/>
                  <w:rtl/>
                </w:rPr>
                <w:alias w:val="1573"/>
                <w:tag w:val="1573"/>
                <w:id w:val="-1715807626"/>
                <w:text w:multiLine="1"/>
              </w:sdtPr>
              <w:sdtEndPr/>
              <w:sdtContent>
                <w:r w:rsidR="00D218EB" w:rsidRPr="00D218EB">
                  <w:rPr>
                    <w:rFonts w:ascii="David" w:hAnsi="David"/>
                    <w:b/>
                    <w:bCs/>
                    <w:sz w:val="26"/>
                    <w:szCs w:val="26"/>
                    <w:rtl/>
                  </w:rPr>
                  <w:t xml:space="preserve">עמי </w:t>
                </w:r>
                <w:r w:rsidRPr="00D218EB">
                  <w:rPr>
                    <w:rFonts w:ascii="David" w:hAnsi="David"/>
                    <w:b/>
                    <w:bCs/>
                    <w:sz w:val="26"/>
                    <w:szCs w:val="26"/>
                    <w:rtl/>
                  </w:rPr>
                  <w:t>קובו</w:t>
                </w:r>
                <w:r w:rsidR="00D218EB" w:rsidRPr="00D218EB">
                  <w:rPr>
                    <w:rFonts w:ascii="David" w:hAnsi="David"/>
                    <w:b/>
                    <w:bCs/>
                    <w:sz w:val="26"/>
                    <w:szCs w:val="26"/>
                    <w:rtl/>
                  </w:rPr>
                  <w:t xml:space="preserve"> – אב"</w:t>
                </w:r>
                <w:r w:rsidR="00D218EB" w:rsidRPr="00D218EB">
                  <w:rPr>
                    <w:rFonts w:ascii="David" w:hAnsi="David" w:hint="cs"/>
                    <w:b/>
                    <w:bCs/>
                    <w:sz w:val="26"/>
                    <w:szCs w:val="26"/>
                    <w:rtl/>
                  </w:rPr>
                  <w:t>ד</w:t>
                </w:r>
              </w:sdtContent>
            </w:sdt>
          </w:p>
          <w:p w14:paraId="640D2042" w14:textId="67EC3EA4"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757139648"/>
                <w:text w:multiLine="1"/>
              </w:sdtPr>
              <w:sdtEndPr/>
              <w:sdtContent>
                <w:r>
                  <w:rPr>
                    <w:rFonts w:ascii="David" w:hAnsi="David"/>
                    <w:b/>
                    <w:bCs/>
                    <w:sz w:val="26"/>
                    <w:szCs w:val="26"/>
                    <w:rtl/>
                  </w:rPr>
                  <w:t>שופט</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999894012"/>
                <w:text w:multiLine="1"/>
              </w:sdtPr>
              <w:sdtEndPr/>
              <w:sdtContent>
                <w:r w:rsidR="00D218EB">
                  <w:rPr>
                    <w:rFonts w:ascii="David" w:hAnsi="David" w:hint="cs"/>
                    <w:b/>
                    <w:bCs/>
                    <w:sz w:val="26"/>
                    <w:szCs w:val="26"/>
                    <w:rtl/>
                  </w:rPr>
                  <w:t xml:space="preserve">מיכאל </w:t>
                </w:r>
                <w:r>
                  <w:rPr>
                    <w:rFonts w:ascii="David" w:hAnsi="David"/>
                    <w:b/>
                    <w:bCs/>
                    <w:sz w:val="26"/>
                    <w:szCs w:val="26"/>
                    <w:rtl/>
                  </w:rPr>
                  <w:t>קרשן</w:t>
                </w:r>
              </w:sdtContent>
            </w:sdt>
          </w:p>
          <w:p w14:paraId="72DDBBE9" w14:textId="2AB1374F" w:rsidR="00507694" w:rsidRPr="00822550" w:rsidRDefault="006C2095">
            <w:pPr>
              <w:rPr>
                <w:rFonts w:ascii="David" w:hAnsi="David"/>
                <w:b/>
                <w:bCs/>
                <w:sz w:val="26"/>
                <w:szCs w:val="26"/>
                <w:rtl/>
              </w:rPr>
            </w:pPr>
            <w:r w:rsidRPr="00822550">
              <w:rPr>
                <w:rFonts w:ascii="David" w:hAnsi="David"/>
                <w:b/>
                <w:bCs/>
                <w:sz w:val="26"/>
                <w:szCs w:val="26"/>
                <w:rtl/>
              </w:rPr>
              <w:t>כבוד</w:t>
            </w:r>
            <w:r w:rsidR="00684E84" w:rsidRPr="00822550">
              <w:rPr>
                <w:rFonts w:ascii="David" w:hAnsi="David"/>
                <w:b/>
                <w:bCs/>
                <w:sz w:val="26"/>
                <w:szCs w:val="26"/>
                <w:rtl/>
              </w:rPr>
              <w:t xml:space="preserve"> ה</w:t>
            </w:r>
            <w:sdt>
              <w:sdtPr>
                <w:rPr>
                  <w:rFonts w:ascii="David" w:hAnsi="David"/>
                  <w:sz w:val="26"/>
                  <w:szCs w:val="26"/>
                  <w:rtl/>
                </w:rPr>
                <w:alias w:val="1574"/>
                <w:tag w:val="1574"/>
                <w:id w:val="1420751499"/>
                <w:text w:multiLine="1"/>
              </w:sdtPr>
              <w:sdtEndPr/>
              <w:sdtContent>
                <w:r>
                  <w:rPr>
                    <w:rFonts w:ascii="David" w:hAnsi="David"/>
                    <w:b/>
                    <w:bCs/>
                    <w:sz w:val="26"/>
                    <w:szCs w:val="26"/>
                    <w:rtl/>
                  </w:rPr>
                  <w:t>שופטת</w:t>
                </w:r>
              </w:sdtContent>
            </w:sdt>
            <w:r w:rsidR="00684E84" w:rsidRPr="00822550">
              <w:rPr>
                <w:rFonts w:ascii="David" w:hAnsi="David"/>
                <w:b/>
                <w:bCs/>
                <w:sz w:val="26"/>
                <w:szCs w:val="26"/>
                <w:rtl/>
              </w:rPr>
              <w:t xml:space="preserve">  </w:t>
            </w:r>
            <w:sdt>
              <w:sdtPr>
                <w:rPr>
                  <w:rFonts w:ascii="David" w:hAnsi="David"/>
                  <w:sz w:val="26"/>
                  <w:szCs w:val="26"/>
                  <w:rtl/>
                </w:rPr>
                <w:alias w:val="1573"/>
                <w:tag w:val="1573"/>
                <w:id w:val="908349151"/>
                <w:text w:multiLine="1"/>
              </w:sdtPr>
              <w:sdtEndPr/>
              <w:sdtContent>
                <w:r w:rsidR="00D218EB">
                  <w:rPr>
                    <w:rFonts w:ascii="David" w:hAnsi="David" w:hint="cs"/>
                    <w:b/>
                    <w:bCs/>
                    <w:sz w:val="26"/>
                    <w:szCs w:val="26"/>
                    <w:rtl/>
                  </w:rPr>
                  <w:t xml:space="preserve">מרב </w:t>
                </w:r>
                <w:r>
                  <w:rPr>
                    <w:rFonts w:ascii="David" w:hAnsi="David"/>
                    <w:b/>
                    <w:bCs/>
                    <w:sz w:val="26"/>
                    <w:szCs w:val="26"/>
                    <w:rtl/>
                  </w:rPr>
                  <w:t>גרינברג</w:t>
                </w:r>
              </w:sdtContent>
            </w:sdt>
          </w:p>
          <w:p w14:paraId="3F7EDEDE" w14:textId="77777777" w:rsidR="00507694" w:rsidRPr="00822550" w:rsidRDefault="00507694">
            <w:pPr>
              <w:rPr>
                <w:rFonts w:ascii="David" w:hAnsi="David"/>
                <w:sz w:val="26"/>
                <w:szCs w:val="26"/>
                <w:rtl/>
              </w:rPr>
            </w:pPr>
          </w:p>
        </w:tc>
      </w:tr>
      <w:tr w:rsidR="00507694" w:rsidRPr="00822550" w14:paraId="7C8A54DD" w14:textId="77777777" w:rsidTr="000F2247">
        <w:trPr>
          <w:trHeight w:val="355"/>
          <w:jc w:val="center"/>
        </w:trPr>
        <w:tc>
          <w:tcPr>
            <w:tcW w:w="923" w:type="dxa"/>
            <w:tcBorders>
              <w:top w:val="nil"/>
              <w:left w:val="nil"/>
              <w:bottom w:val="nil"/>
              <w:right w:val="nil"/>
            </w:tcBorders>
          </w:tcPr>
          <w:p w14:paraId="799D43AA" w14:textId="77777777" w:rsidR="00507694" w:rsidRPr="00822550" w:rsidRDefault="00684E84">
            <w:pPr>
              <w:jc w:val="both"/>
              <w:rPr>
                <w:rFonts w:ascii="David" w:hAnsi="David"/>
                <w:sz w:val="26"/>
                <w:szCs w:val="26"/>
              </w:rPr>
            </w:pPr>
            <w:r w:rsidRPr="00822550">
              <w:rPr>
                <w:rFonts w:ascii="David" w:hAnsi="David"/>
                <w:sz w:val="26"/>
                <w:szCs w:val="26"/>
                <w:rtl/>
              </w:rPr>
              <w:t>בעניין:</w:t>
            </w:r>
          </w:p>
        </w:tc>
        <w:tc>
          <w:tcPr>
            <w:tcW w:w="3219" w:type="dxa"/>
            <w:tcBorders>
              <w:top w:val="nil"/>
              <w:left w:val="nil"/>
              <w:bottom w:val="nil"/>
              <w:right w:val="nil"/>
            </w:tcBorders>
          </w:tcPr>
          <w:p w14:paraId="2139D635" w14:textId="77777777" w:rsidR="000F2247" w:rsidRDefault="000F2247" w:rsidP="000F2247">
            <w:pPr>
              <w:suppressLineNumbers/>
            </w:pPr>
            <w:r w:rsidRPr="000F2247">
              <w:rPr>
                <w:rFonts w:ascii="Arial" w:hAnsi="Arial" w:hint="cs"/>
                <w:b/>
                <w:bCs/>
                <w:sz w:val="26"/>
                <w:szCs w:val="26"/>
                <w:rtl/>
              </w:rPr>
              <w:t>ה</w:t>
            </w:r>
            <w:sdt>
              <w:sdtPr>
                <w:rPr>
                  <w:rFonts w:hint="cs"/>
                  <w:rtl/>
                </w:rPr>
                <w:alias w:val="1180"/>
                <w:tag w:val="1180"/>
                <w:id w:val="637458750"/>
                <w:text w:multiLine="1"/>
              </w:sdtPr>
              <w:sdtEndPr/>
              <w:sdtContent>
                <w:r>
                  <w:rPr>
                    <w:rFonts w:ascii="Arial" w:hAnsi="Arial"/>
                    <w:b/>
                    <w:bCs/>
                    <w:sz w:val="26"/>
                    <w:szCs w:val="26"/>
                    <w:rtl/>
                  </w:rPr>
                  <w:t>מאשימה</w:t>
                </w:r>
              </w:sdtContent>
            </w:sdt>
          </w:p>
          <w:p w14:paraId="42DB819A" w14:textId="77777777" w:rsidR="00507694" w:rsidRPr="000F2247" w:rsidRDefault="00507694" w:rsidP="003E0C9F">
            <w:pPr>
              <w:rPr>
                <w:rFonts w:ascii="David" w:hAnsi="David"/>
                <w:sz w:val="26"/>
                <w:szCs w:val="26"/>
              </w:rPr>
            </w:pPr>
          </w:p>
        </w:tc>
        <w:tc>
          <w:tcPr>
            <w:tcW w:w="4678" w:type="dxa"/>
            <w:tcBorders>
              <w:top w:val="nil"/>
              <w:left w:val="nil"/>
              <w:bottom w:val="nil"/>
              <w:right w:val="nil"/>
            </w:tcBorders>
            <w:vAlign w:val="center"/>
          </w:tcPr>
          <w:p w14:paraId="7A07BC52" w14:textId="084BF675" w:rsidR="000F2247" w:rsidRDefault="00F10C1C" w:rsidP="000F2247">
            <w:pPr>
              <w:suppressLineNumbers/>
              <w:rPr>
                <w:rtl/>
              </w:rPr>
            </w:pPr>
            <w:sdt>
              <w:sdtPr>
                <w:rPr>
                  <w:rFonts w:ascii="Arial" w:hAnsi="Arial"/>
                  <w:b/>
                  <w:bCs/>
                  <w:sz w:val="26"/>
                  <w:szCs w:val="26"/>
                  <w:rtl/>
                </w:rPr>
                <w:alias w:val="3151"/>
                <w:tag w:val="3151"/>
                <w:id w:val="1166218717"/>
                <w:placeholder>
                  <w:docPart w:val="779E22585710421C8C89FB185AEA4F29"/>
                </w:placeholder>
                <w:text w:multiLine="1"/>
              </w:sdtPr>
              <w:sdtEndPr/>
              <w:sdtContent>
                <w:r w:rsidR="00D33BE7">
                  <w:rPr>
                    <w:rFonts w:ascii="Arial" w:hAnsi="Arial"/>
                    <w:b/>
                    <w:bCs/>
                    <w:sz w:val="26"/>
                    <w:szCs w:val="26"/>
                    <w:rtl/>
                  </w:rPr>
                  <w:t>מדינת ישראל</w:t>
                </w:r>
              </w:sdtContent>
            </w:sdt>
            <w:r w:rsidR="009705CC">
              <w:rPr>
                <w:rFonts w:ascii="Arial" w:hAnsi="Arial" w:hint="cs"/>
                <w:b/>
                <w:bCs/>
                <w:sz w:val="26"/>
                <w:szCs w:val="26"/>
                <w:rtl/>
              </w:rPr>
              <w:t xml:space="preserve"> </w:t>
            </w:r>
          </w:p>
          <w:p w14:paraId="12F8B1F4" w14:textId="569B4B7D" w:rsidR="00D218EB" w:rsidRDefault="00D218EB" w:rsidP="000F2247">
            <w:pPr>
              <w:suppressLineNumbers/>
              <w:rPr>
                <w:rtl/>
              </w:rPr>
            </w:pPr>
            <w:r>
              <w:rPr>
                <w:rFonts w:hint="cs"/>
                <w:rtl/>
              </w:rPr>
              <w:t>באמצעות פרקליטות מחוז מרכז</w:t>
            </w:r>
          </w:p>
          <w:p w14:paraId="44AC2260" w14:textId="73D9D590" w:rsidR="00D218EB" w:rsidRDefault="00D218EB" w:rsidP="000F2247">
            <w:pPr>
              <w:suppressLineNumbers/>
            </w:pPr>
            <w:r>
              <w:rPr>
                <w:rFonts w:hint="cs"/>
                <w:rtl/>
              </w:rPr>
              <w:t>ע"י עו"ד אופיר פחימה</w:t>
            </w:r>
          </w:p>
          <w:p w14:paraId="15D08BA7" w14:textId="77777777" w:rsidR="00507694" w:rsidRPr="000F2247" w:rsidRDefault="00507694" w:rsidP="000F2247">
            <w:pPr>
              <w:rPr>
                <w:rFonts w:ascii="David" w:hAnsi="David"/>
                <w:sz w:val="26"/>
                <w:szCs w:val="26"/>
              </w:rPr>
            </w:pPr>
          </w:p>
        </w:tc>
      </w:tr>
      <w:tr w:rsidR="00507694" w:rsidRPr="00822550" w14:paraId="0B3CBBA5" w14:textId="77777777">
        <w:trPr>
          <w:trHeight w:val="355"/>
          <w:jc w:val="center"/>
        </w:trPr>
        <w:tc>
          <w:tcPr>
            <w:tcW w:w="923" w:type="dxa"/>
            <w:tcBorders>
              <w:top w:val="nil"/>
              <w:left w:val="nil"/>
              <w:bottom w:val="nil"/>
              <w:right w:val="nil"/>
            </w:tcBorders>
          </w:tcPr>
          <w:p w14:paraId="61E6A243" w14:textId="77777777" w:rsidR="00507694" w:rsidRPr="00822550" w:rsidRDefault="00507694">
            <w:pPr>
              <w:jc w:val="both"/>
              <w:rPr>
                <w:rFonts w:ascii="David" w:hAnsi="David"/>
                <w:sz w:val="26"/>
                <w:szCs w:val="26"/>
                <w:rtl/>
              </w:rPr>
            </w:pPr>
          </w:p>
        </w:tc>
        <w:tc>
          <w:tcPr>
            <w:tcW w:w="7897" w:type="dxa"/>
            <w:gridSpan w:val="2"/>
            <w:tcBorders>
              <w:top w:val="nil"/>
              <w:left w:val="nil"/>
              <w:bottom w:val="nil"/>
              <w:right w:val="nil"/>
            </w:tcBorders>
          </w:tcPr>
          <w:p w14:paraId="67EBC778" w14:textId="77777777" w:rsidR="00507694" w:rsidRPr="00822550" w:rsidRDefault="00507694">
            <w:pPr>
              <w:jc w:val="center"/>
              <w:rPr>
                <w:rFonts w:ascii="David" w:hAnsi="David"/>
                <w:b/>
                <w:bCs/>
                <w:sz w:val="26"/>
                <w:szCs w:val="26"/>
                <w:rtl/>
              </w:rPr>
            </w:pPr>
          </w:p>
          <w:p w14:paraId="5B502C58" w14:textId="77777777" w:rsidR="00507694" w:rsidRPr="00822550" w:rsidRDefault="00684E84">
            <w:pPr>
              <w:jc w:val="center"/>
              <w:rPr>
                <w:rFonts w:ascii="David" w:hAnsi="David"/>
                <w:b/>
                <w:bCs/>
                <w:sz w:val="26"/>
                <w:szCs w:val="26"/>
                <w:rtl/>
              </w:rPr>
            </w:pPr>
            <w:r w:rsidRPr="00822550">
              <w:rPr>
                <w:rFonts w:ascii="David" w:hAnsi="David"/>
                <w:b/>
                <w:bCs/>
                <w:sz w:val="26"/>
                <w:szCs w:val="26"/>
                <w:rtl/>
              </w:rPr>
              <w:t>נגד</w:t>
            </w:r>
          </w:p>
          <w:p w14:paraId="2DC21F6F" w14:textId="77777777" w:rsidR="00507694" w:rsidRPr="00822550" w:rsidRDefault="00507694">
            <w:pPr>
              <w:jc w:val="both"/>
              <w:rPr>
                <w:rFonts w:ascii="David" w:hAnsi="David"/>
                <w:sz w:val="26"/>
                <w:szCs w:val="26"/>
              </w:rPr>
            </w:pPr>
          </w:p>
        </w:tc>
      </w:tr>
      <w:tr w:rsidR="00507694" w:rsidRPr="00822550" w14:paraId="2EC17E49" w14:textId="77777777" w:rsidTr="000F2247">
        <w:trPr>
          <w:trHeight w:val="355"/>
          <w:jc w:val="center"/>
        </w:trPr>
        <w:tc>
          <w:tcPr>
            <w:tcW w:w="923" w:type="dxa"/>
            <w:tcBorders>
              <w:top w:val="nil"/>
              <w:left w:val="nil"/>
              <w:bottom w:val="nil"/>
              <w:right w:val="nil"/>
            </w:tcBorders>
          </w:tcPr>
          <w:p w14:paraId="33F76602" w14:textId="77777777" w:rsidR="00507694" w:rsidRPr="00822550" w:rsidRDefault="00507694" w:rsidP="003E0C9F">
            <w:pPr>
              <w:rPr>
                <w:rFonts w:ascii="David" w:hAnsi="David"/>
                <w:sz w:val="26"/>
                <w:szCs w:val="26"/>
                <w:rtl/>
              </w:rPr>
            </w:pPr>
          </w:p>
        </w:tc>
        <w:tc>
          <w:tcPr>
            <w:tcW w:w="3219" w:type="dxa"/>
            <w:tcBorders>
              <w:top w:val="nil"/>
              <w:left w:val="nil"/>
              <w:bottom w:val="nil"/>
              <w:right w:val="nil"/>
            </w:tcBorders>
          </w:tcPr>
          <w:p w14:paraId="351135FD" w14:textId="77777777" w:rsidR="00507694" w:rsidRPr="000F2247" w:rsidRDefault="000F2247" w:rsidP="003E0C9F">
            <w:pPr>
              <w:rPr>
                <w:rFonts w:ascii="Arial" w:hAnsi="Arial"/>
                <w:b/>
                <w:bCs/>
                <w:sz w:val="26"/>
                <w:szCs w:val="26"/>
                <w:rtl/>
              </w:rPr>
            </w:pPr>
            <w:r w:rsidRPr="000F2247">
              <w:rPr>
                <w:rFonts w:ascii="Arial" w:hAnsi="Arial"/>
                <w:b/>
                <w:bCs/>
                <w:sz w:val="26"/>
                <w:szCs w:val="26"/>
                <w:rtl/>
              </w:rPr>
              <w:t>ה</w:t>
            </w:r>
            <w:sdt>
              <w:sdtPr>
                <w:rPr>
                  <w:rFonts w:ascii="Arial" w:hAnsi="Arial"/>
                  <w:b/>
                  <w:bCs/>
                  <w:sz w:val="26"/>
                  <w:szCs w:val="26"/>
                  <w:rtl/>
                </w:rPr>
                <w:alias w:val="1184"/>
                <w:tag w:val="1184"/>
                <w:id w:val="-1508059094"/>
                <w:text w:multiLine="1"/>
              </w:sdtPr>
              <w:sdtEndPr/>
              <w:sdtContent>
                <w:r>
                  <w:rPr>
                    <w:rFonts w:ascii="Arial" w:hAnsi="Arial"/>
                    <w:b/>
                    <w:bCs/>
                    <w:sz w:val="26"/>
                    <w:szCs w:val="26"/>
                    <w:rtl/>
                  </w:rPr>
                  <w:t>נאשמים</w:t>
                </w:r>
              </w:sdtContent>
            </w:sdt>
          </w:p>
        </w:tc>
        <w:tc>
          <w:tcPr>
            <w:tcW w:w="4678" w:type="dxa"/>
            <w:tcBorders>
              <w:top w:val="nil"/>
              <w:left w:val="nil"/>
              <w:bottom w:val="nil"/>
              <w:right w:val="nil"/>
            </w:tcBorders>
            <w:vAlign w:val="center"/>
          </w:tcPr>
          <w:p w14:paraId="70510DE3" w14:textId="09523369" w:rsidR="000F2247" w:rsidRDefault="00F10C1C" w:rsidP="000F2247">
            <w:pPr>
              <w:suppressLineNumbers/>
            </w:pPr>
            <w:sdt>
              <w:sdtPr>
                <w:rPr>
                  <w:rFonts w:ascii="Arial" w:hAnsi="Arial"/>
                  <w:b/>
                  <w:bCs/>
                  <w:sz w:val="26"/>
                  <w:szCs w:val="26"/>
                  <w:rtl/>
                </w:rPr>
                <w:alias w:val="3152"/>
                <w:tag w:val="3152"/>
                <w:id w:val="-1346628691"/>
                <w:placeholder>
                  <w:docPart w:val="010484D989C74E84A895BCF1D17B4C1C"/>
                </w:placeholder>
                <w:text w:multiLine="1"/>
              </w:sdtPr>
              <w:sdtEndPr/>
              <w:sdtContent>
                <w:proofErr w:type="spellStart"/>
                <w:r w:rsidR="00D33BE7">
                  <w:rPr>
                    <w:rFonts w:ascii="Arial" w:hAnsi="Arial"/>
                    <w:b/>
                    <w:bCs/>
                    <w:sz w:val="26"/>
                    <w:szCs w:val="26"/>
                    <w:rtl/>
                  </w:rPr>
                  <w:t>עקרמה</w:t>
                </w:r>
                <w:proofErr w:type="spellEnd"/>
                <w:r w:rsidR="00D33BE7">
                  <w:rPr>
                    <w:rFonts w:ascii="Arial" w:hAnsi="Arial"/>
                    <w:b/>
                    <w:bCs/>
                    <w:sz w:val="26"/>
                    <w:szCs w:val="26"/>
                    <w:rtl/>
                  </w:rPr>
                  <w:t xml:space="preserve"> </w:t>
                </w:r>
                <w:proofErr w:type="spellStart"/>
                <w:r w:rsidR="00D33BE7">
                  <w:rPr>
                    <w:rFonts w:ascii="Arial" w:hAnsi="Arial"/>
                    <w:b/>
                    <w:bCs/>
                    <w:sz w:val="26"/>
                    <w:szCs w:val="26"/>
                    <w:rtl/>
                  </w:rPr>
                  <w:t>עאזם</w:t>
                </w:r>
                <w:proofErr w:type="spellEnd"/>
                <w:r w:rsidR="00D33BE7">
                  <w:rPr>
                    <w:rFonts w:ascii="Arial" w:hAnsi="Arial"/>
                    <w:b/>
                    <w:bCs/>
                    <w:sz w:val="26"/>
                    <w:szCs w:val="26"/>
                    <w:rtl/>
                  </w:rPr>
                  <w:t xml:space="preserve"> </w:t>
                </w:r>
              </w:sdtContent>
            </w:sdt>
          </w:p>
          <w:p w14:paraId="708EBBA4" w14:textId="098A9D74" w:rsidR="00507694" w:rsidRPr="00D218EB" w:rsidRDefault="00D218EB" w:rsidP="002C5E13">
            <w:pPr>
              <w:rPr>
                <w:rFonts w:ascii="David" w:hAnsi="David"/>
              </w:rPr>
            </w:pPr>
            <w:r>
              <w:rPr>
                <w:rFonts w:ascii="David" w:hAnsi="David" w:hint="cs"/>
                <w:rtl/>
              </w:rPr>
              <w:t>ע"י עו</w:t>
            </w:r>
            <w:r w:rsidR="00CD0DCB">
              <w:rPr>
                <w:rFonts w:ascii="David" w:hAnsi="David" w:hint="cs"/>
                <w:rtl/>
              </w:rPr>
              <w:t>ה</w:t>
            </w:r>
            <w:r>
              <w:rPr>
                <w:rFonts w:ascii="David" w:hAnsi="David" w:hint="cs"/>
                <w:rtl/>
              </w:rPr>
              <w:t xml:space="preserve">"ד </w:t>
            </w:r>
            <w:r w:rsidR="002C5E13">
              <w:rPr>
                <w:rFonts w:ascii="David" w:hAnsi="David" w:hint="cs"/>
                <w:rtl/>
              </w:rPr>
              <w:t xml:space="preserve">רומח </w:t>
            </w:r>
            <w:r>
              <w:rPr>
                <w:rFonts w:ascii="David" w:hAnsi="David" w:hint="cs"/>
                <w:rtl/>
              </w:rPr>
              <w:t>שביט</w:t>
            </w:r>
            <w:r w:rsidR="00CD0DCB">
              <w:rPr>
                <w:rFonts w:ascii="David" w:hAnsi="David" w:hint="cs"/>
                <w:rtl/>
              </w:rPr>
              <w:t xml:space="preserve"> ושלומי מלכה</w:t>
            </w:r>
          </w:p>
        </w:tc>
      </w:tr>
      <w:tr w:rsidR="00507694" w:rsidRPr="00822550" w14:paraId="1A88620B" w14:textId="77777777" w:rsidTr="000F2247">
        <w:trPr>
          <w:trHeight w:val="355"/>
          <w:jc w:val="center"/>
        </w:trPr>
        <w:tc>
          <w:tcPr>
            <w:tcW w:w="923" w:type="dxa"/>
            <w:tcBorders>
              <w:top w:val="nil"/>
              <w:left w:val="nil"/>
              <w:bottom w:val="nil"/>
              <w:right w:val="nil"/>
            </w:tcBorders>
          </w:tcPr>
          <w:p w14:paraId="50168C29" w14:textId="77777777" w:rsidR="00507694" w:rsidRPr="00822550" w:rsidRDefault="00507694">
            <w:pPr>
              <w:jc w:val="both"/>
              <w:rPr>
                <w:rFonts w:ascii="David" w:hAnsi="David"/>
                <w:sz w:val="26"/>
                <w:szCs w:val="26"/>
                <w:rtl/>
              </w:rPr>
            </w:pPr>
          </w:p>
        </w:tc>
        <w:tc>
          <w:tcPr>
            <w:tcW w:w="3219" w:type="dxa"/>
            <w:tcBorders>
              <w:top w:val="nil"/>
              <w:left w:val="nil"/>
              <w:bottom w:val="nil"/>
              <w:right w:val="nil"/>
            </w:tcBorders>
          </w:tcPr>
          <w:p w14:paraId="0C0BF257" w14:textId="77777777" w:rsidR="00507694" w:rsidRPr="00822550" w:rsidRDefault="00507694">
            <w:pPr>
              <w:jc w:val="both"/>
              <w:rPr>
                <w:rFonts w:ascii="David" w:hAnsi="David"/>
                <w:sz w:val="26"/>
                <w:szCs w:val="26"/>
                <w:rtl/>
              </w:rPr>
            </w:pPr>
          </w:p>
        </w:tc>
        <w:tc>
          <w:tcPr>
            <w:tcW w:w="4678" w:type="dxa"/>
            <w:tcBorders>
              <w:top w:val="nil"/>
              <w:left w:val="nil"/>
              <w:bottom w:val="nil"/>
              <w:right w:val="nil"/>
            </w:tcBorders>
          </w:tcPr>
          <w:p w14:paraId="415CA73B" w14:textId="77777777" w:rsidR="00507694" w:rsidRPr="00822550" w:rsidRDefault="00507694">
            <w:pPr>
              <w:jc w:val="right"/>
              <w:rPr>
                <w:rFonts w:ascii="David" w:hAnsi="David"/>
                <w:sz w:val="26"/>
                <w:szCs w:val="26"/>
              </w:rPr>
            </w:pPr>
          </w:p>
        </w:tc>
      </w:tr>
    </w:tbl>
    <w:p w14:paraId="7D261124" w14:textId="77777777" w:rsidR="00507694" w:rsidRPr="00822550" w:rsidRDefault="00507694">
      <w:pPr>
        <w:rPr>
          <w:sz w:val="26"/>
          <w:szCs w:val="26"/>
        </w:rPr>
      </w:pPr>
    </w:p>
    <w:tbl>
      <w:tblPr>
        <w:tblStyle w:val="a9"/>
        <w:bidiVisual/>
        <w:tblW w:w="8820" w:type="dxa"/>
        <w:jc w:val="center"/>
        <w:tblLook w:val="01E0" w:firstRow="1" w:lastRow="1" w:firstColumn="1" w:lastColumn="1" w:noHBand="0" w:noVBand="0"/>
      </w:tblPr>
      <w:tblGrid>
        <w:gridCol w:w="8820"/>
      </w:tblGrid>
      <w:tr w:rsidR="00507694" w14:paraId="3693D8BB" w14:textId="77777777">
        <w:trPr>
          <w:trHeight w:val="355"/>
          <w:jc w:val="center"/>
        </w:trPr>
        <w:tc>
          <w:tcPr>
            <w:tcW w:w="8820" w:type="dxa"/>
            <w:tcBorders>
              <w:top w:val="nil"/>
              <w:left w:val="nil"/>
              <w:bottom w:val="nil"/>
              <w:right w:val="nil"/>
            </w:tcBorders>
          </w:tcPr>
          <w:p w14:paraId="3548AB69" w14:textId="77777777" w:rsidR="00507694" w:rsidRDefault="00684E84">
            <w:pPr>
              <w:jc w:val="center"/>
              <w:rPr>
                <w:rFonts w:ascii="David" w:hAnsi="David"/>
                <w:sz w:val="32"/>
                <w:szCs w:val="32"/>
                <w:u w:val="single"/>
                <w:rtl/>
              </w:rPr>
            </w:pPr>
            <w:r w:rsidRPr="000454A8">
              <w:rPr>
                <w:rFonts w:ascii="David" w:hAnsi="David"/>
                <w:b/>
                <w:bCs/>
                <w:sz w:val="32"/>
                <w:szCs w:val="32"/>
                <w:u w:val="single"/>
                <w:rtl/>
              </w:rPr>
              <w:t>גזר דין</w:t>
            </w:r>
          </w:p>
          <w:p w14:paraId="447B93A8" w14:textId="77777777" w:rsidR="00D218EB" w:rsidRDefault="00D218EB">
            <w:pPr>
              <w:jc w:val="center"/>
              <w:rPr>
                <w:rFonts w:ascii="David" w:hAnsi="David"/>
                <w:sz w:val="32"/>
                <w:szCs w:val="32"/>
                <w:u w:val="single"/>
                <w:rtl/>
              </w:rPr>
            </w:pPr>
          </w:p>
          <w:p w14:paraId="386C876B" w14:textId="77777777" w:rsidR="00D218EB" w:rsidRPr="000454A8" w:rsidRDefault="00D218EB">
            <w:pPr>
              <w:jc w:val="center"/>
              <w:rPr>
                <w:rFonts w:ascii="David" w:hAnsi="David"/>
                <w:sz w:val="32"/>
                <w:szCs w:val="32"/>
                <w:u w:val="single"/>
                <w:rtl/>
              </w:rPr>
            </w:pPr>
          </w:p>
        </w:tc>
      </w:tr>
    </w:tbl>
    <w:p w14:paraId="7790C075" w14:textId="77777777" w:rsidR="00D218EB" w:rsidRDefault="00D218EB" w:rsidP="00D218EB">
      <w:pPr>
        <w:pStyle w:val="ad"/>
        <w:numPr>
          <w:ilvl w:val="0"/>
          <w:numId w:val="4"/>
        </w:numPr>
        <w:spacing w:after="160" w:line="360" w:lineRule="auto"/>
        <w:jc w:val="both"/>
        <w:rPr>
          <w:rFonts w:ascii="David" w:hAnsi="David"/>
        </w:rPr>
      </w:pPr>
      <w:r>
        <w:rPr>
          <w:rFonts w:ascii="David" w:hAnsi="David"/>
          <w:rtl/>
        </w:rPr>
        <w:t xml:space="preserve">הנאשם הורשע, לאחר שמיעת ראיות, בעבירות של </w:t>
      </w:r>
      <w:r>
        <w:rPr>
          <w:rFonts w:ascii="David" w:hAnsi="David"/>
          <w:b/>
          <w:bCs/>
          <w:rtl/>
        </w:rPr>
        <w:t>רצח בנסיבות מחמירות</w:t>
      </w:r>
      <w:r>
        <w:rPr>
          <w:rFonts w:ascii="David" w:hAnsi="David"/>
          <w:rtl/>
        </w:rPr>
        <w:t>, לפי סעיף 301א(א)(1) וסעיף 301א(א)(9) לחוק העונשין התשל"ז-1977 (להלן: "</w:t>
      </w:r>
      <w:r>
        <w:rPr>
          <w:rFonts w:ascii="David" w:hAnsi="David"/>
          <w:b/>
          <w:bCs/>
          <w:rtl/>
        </w:rPr>
        <w:t>החוק</w:t>
      </w:r>
      <w:r>
        <w:rPr>
          <w:rFonts w:ascii="David" w:hAnsi="David"/>
          <w:rtl/>
        </w:rPr>
        <w:t xml:space="preserve">"); </w:t>
      </w:r>
      <w:r>
        <w:rPr>
          <w:rFonts w:ascii="David" w:hAnsi="David"/>
          <w:b/>
          <w:bCs/>
          <w:rtl/>
        </w:rPr>
        <w:t xml:space="preserve">ניסיון רצח </w:t>
      </w:r>
      <w:r>
        <w:rPr>
          <w:rFonts w:ascii="David" w:hAnsi="David"/>
          <w:rtl/>
        </w:rPr>
        <w:t xml:space="preserve">(שתי עבירות), לפי סעיף 305 לחוק; </w:t>
      </w:r>
      <w:r>
        <w:rPr>
          <w:rFonts w:ascii="David" w:hAnsi="David"/>
          <w:b/>
          <w:bCs/>
          <w:rtl/>
        </w:rPr>
        <w:t>חבלה חמורה בנסיבות מחמירות</w:t>
      </w:r>
      <w:r>
        <w:rPr>
          <w:rFonts w:ascii="David" w:hAnsi="David"/>
          <w:rtl/>
        </w:rPr>
        <w:t xml:space="preserve"> (שלוש עבירות), לפי סעיף 333 ביחד עם סעיף 335(א)(1) לחוק; </w:t>
      </w:r>
      <w:r>
        <w:rPr>
          <w:rFonts w:ascii="David" w:hAnsi="David"/>
          <w:b/>
          <w:bCs/>
          <w:rtl/>
        </w:rPr>
        <w:t>נשיאת נשק ותחמושת</w:t>
      </w:r>
      <w:r>
        <w:rPr>
          <w:rFonts w:ascii="David" w:hAnsi="David"/>
          <w:rtl/>
        </w:rPr>
        <w:t>, לפי סעיף 144(ב) רישא וסיפא לחוק; ו</w:t>
      </w:r>
      <w:r>
        <w:rPr>
          <w:rFonts w:ascii="David" w:hAnsi="David"/>
          <w:b/>
          <w:bCs/>
          <w:rtl/>
        </w:rPr>
        <w:t>שיבוש מהלכי משפט</w:t>
      </w:r>
      <w:r>
        <w:rPr>
          <w:rFonts w:ascii="David" w:hAnsi="David"/>
          <w:rtl/>
        </w:rPr>
        <w:t xml:space="preserve">, לפי סעיף 244 לחוק. הנאשם זוכה מחמת הספק מעבירה אחת של ניסיון לרצח. </w:t>
      </w:r>
    </w:p>
    <w:p w14:paraId="78833FC7" w14:textId="77777777" w:rsidR="00D218EB" w:rsidRDefault="00D218EB" w:rsidP="00D218EB">
      <w:pPr>
        <w:pStyle w:val="a"/>
        <w:numPr>
          <w:ilvl w:val="0"/>
          <w:numId w:val="4"/>
        </w:numPr>
        <w:tabs>
          <w:tab w:val="left" w:pos="720"/>
        </w:tabs>
        <w:jc w:val="both"/>
      </w:pPr>
      <w:r>
        <w:rPr>
          <w:rFonts w:hint="cs"/>
          <w:rtl/>
        </w:rPr>
        <w:t xml:space="preserve">כפי שנקבע בהכרעת הדין, האירוע הוא תולדה של החלטת הנאשם לנקום בגין ירי שבוצע כלפיו מספר חודשים עובר למעשיו וגרם לו לחבלות. שניים נחקרו בחשד למעורבות בירי כלפי הנאשם: עומר צרצור (להלן: </w:t>
      </w:r>
      <w:r>
        <w:rPr>
          <w:rFonts w:hint="cs"/>
          <w:b/>
          <w:bCs/>
          <w:rtl/>
        </w:rPr>
        <w:t>עומר</w:t>
      </w:r>
      <w:r>
        <w:rPr>
          <w:rFonts w:hint="cs"/>
          <w:rtl/>
        </w:rPr>
        <w:t xml:space="preserve">) ואחמד </w:t>
      </w:r>
      <w:proofErr w:type="spellStart"/>
      <w:r>
        <w:rPr>
          <w:rFonts w:hint="cs"/>
          <w:rtl/>
        </w:rPr>
        <w:t>מסארווה</w:t>
      </w:r>
      <w:proofErr w:type="spellEnd"/>
      <w:r>
        <w:rPr>
          <w:rFonts w:hint="cs"/>
          <w:rtl/>
        </w:rPr>
        <w:t xml:space="preserve"> (להלן: </w:t>
      </w:r>
      <w:r>
        <w:rPr>
          <w:rFonts w:hint="cs"/>
          <w:b/>
          <w:bCs/>
          <w:rtl/>
        </w:rPr>
        <w:t>אחמד</w:t>
      </w:r>
      <w:r>
        <w:rPr>
          <w:rFonts w:hint="cs"/>
          <w:rtl/>
        </w:rPr>
        <w:t xml:space="preserve">), אך אלה שוחררו לאחר שלא נמצאו די ראיות למעורבותם במעשה. בעקבות פציעתו מהירי גמלה בליבו של הנאשם החלטה לגרום למותם של מי שחשד שעמדו מאחורי הירי או אחרים הקרובים אליהם. ביום 20.9.21 בשעת ערב הגיע הנאשם לטקס חינה רב מוזמנים בחצר בית בטייבה כשהוא חמוש בשני אקדחים טעונים שהוסתרו תחת בגדיו. בטקס החינה חגגו ורקדו באותה עת עשרות מוזמנים, נשים גברים וטף, וביניהם </w:t>
      </w:r>
      <w:r>
        <w:rPr>
          <w:rFonts w:hint="cs"/>
          <w:b/>
          <w:bCs/>
          <w:rtl/>
        </w:rPr>
        <w:t>אחמד</w:t>
      </w:r>
      <w:r>
        <w:rPr>
          <w:rFonts w:hint="cs"/>
          <w:rtl/>
        </w:rPr>
        <w:t xml:space="preserve">, עלא צרצור, אחיו של עומר שנחשד בירי כלפי הנאשם (להלן: </w:t>
      </w:r>
      <w:r>
        <w:rPr>
          <w:rFonts w:hint="cs"/>
          <w:b/>
          <w:bCs/>
          <w:rtl/>
        </w:rPr>
        <w:t>עלא</w:t>
      </w:r>
      <w:r>
        <w:rPr>
          <w:rFonts w:hint="cs"/>
          <w:rtl/>
        </w:rPr>
        <w:t xml:space="preserve">) ומקורביהם מוחמד באייר (להלן: </w:t>
      </w:r>
      <w:r>
        <w:rPr>
          <w:rFonts w:hint="cs"/>
          <w:b/>
          <w:bCs/>
          <w:rtl/>
        </w:rPr>
        <w:t>מוחמד</w:t>
      </w:r>
      <w:r>
        <w:rPr>
          <w:rFonts w:hint="cs"/>
          <w:rtl/>
        </w:rPr>
        <w:t xml:space="preserve">) </w:t>
      </w:r>
      <w:proofErr w:type="spellStart"/>
      <w:r>
        <w:rPr>
          <w:rFonts w:hint="cs"/>
          <w:rtl/>
        </w:rPr>
        <w:t>ואיסלאם</w:t>
      </w:r>
      <w:proofErr w:type="spellEnd"/>
      <w:r>
        <w:rPr>
          <w:rFonts w:hint="cs"/>
          <w:rtl/>
        </w:rPr>
        <w:t xml:space="preserve"> </w:t>
      </w:r>
      <w:proofErr w:type="spellStart"/>
      <w:r>
        <w:rPr>
          <w:rFonts w:hint="cs"/>
          <w:rtl/>
        </w:rPr>
        <w:t>נאשף</w:t>
      </w:r>
      <w:proofErr w:type="spellEnd"/>
      <w:r>
        <w:rPr>
          <w:rFonts w:hint="cs"/>
          <w:rtl/>
        </w:rPr>
        <w:t xml:space="preserve"> (להלן: </w:t>
      </w:r>
      <w:proofErr w:type="spellStart"/>
      <w:r>
        <w:rPr>
          <w:rFonts w:hint="cs"/>
          <w:b/>
          <w:bCs/>
          <w:rtl/>
        </w:rPr>
        <w:t>איסלאם</w:t>
      </w:r>
      <w:proofErr w:type="spellEnd"/>
      <w:r>
        <w:rPr>
          <w:rFonts w:hint="cs"/>
          <w:rtl/>
        </w:rPr>
        <w:t>) (להלן ביחד: "</w:t>
      </w:r>
      <w:r>
        <w:rPr>
          <w:rFonts w:hint="cs"/>
          <w:b/>
          <w:bCs/>
          <w:rtl/>
        </w:rPr>
        <w:t>הארבעה</w:t>
      </w:r>
      <w:r>
        <w:rPr>
          <w:rFonts w:hint="cs"/>
          <w:rtl/>
        </w:rPr>
        <w:t xml:space="preserve">"). בשעה 22:15 יצאו הארבעה מהטקס והלכו ברחוב לצד חוגגים נוספים. כשהתקרבו לסמטה, ובהתאם לתוכנית הרצח, שלף הנאשם את אחד האקדחים, כיוון אותו לעברם וירה מספר רב של כדורים מטווח </w:t>
      </w:r>
      <w:r>
        <w:rPr>
          <w:rFonts w:hint="cs"/>
          <w:rtl/>
        </w:rPr>
        <w:lastRenderedPageBreak/>
        <w:t xml:space="preserve">קרוב בכוונה לגרום למותם, ותוך שסיכן את החוגגים הנוספים שהיו במקום ונמלטו לכל עבר. כתוצאה מהירי נפצעו אחמד </w:t>
      </w:r>
      <w:proofErr w:type="spellStart"/>
      <w:r>
        <w:rPr>
          <w:rFonts w:hint="cs"/>
          <w:rtl/>
        </w:rPr>
        <w:t>ואיסלאם</w:t>
      </w:r>
      <w:proofErr w:type="spellEnd"/>
      <w:r>
        <w:rPr>
          <w:rFonts w:hint="cs"/>
          <w:rtl/>
        </w:rPr>
        <w:t xml:space="preserve"> והתמוטטו ארצה, ומוחמד ועלא וכן חוגגים נוספים שהיו במקום נמלטו בריצה בהמשך הרחוב. הנאשם רדף אחרי מוחמד ועלא תוך שהוא ממשיך לירות לעברם. לאחר שרוקן את תחמושת האקדח, הנאשם הכניסו בחזרה לבגדיו ושלף את האקדח הטעון השני שהחזיק על גופו וירה באמצעותו יריות רבות לעבר מוחמד ועלא. כאשר הגיעו במנוסתם לעיקול ברחוב, פגע הנאשם בירייה בצווארו של מוחמד והוא התמוטט ארצה. הנאשם המשיך לרדוף אחרי עלא תוך שיורה לעברו, עד שפגע בעכוזו ואף הוא התמוטט. בשלב זה נמלט הנאשם מהמקום והארבעה נותרו שכובים על הארץ ומתבוססים בדמם. בהמשך הלילה נמלט הנאשם לשטחי האזור בסיוע בני משפחתו, אחיו ודודו, ושב למחרת לאחר שנודע לאביו שהמשטרה מחפשת אותו. </w:t>
      </w:r>
    </w:p>
    <w:p w14:paraId="5E32B438" w14:textId="77777777" w:rsidR="00D218EB" w:rsidRDefault="00D218EB" w:rsidP="00D218EB">
      <w:pPr>
        <w:pStyle w:val="a"/>
        <w:numPr>
          <w:ilvl w:val="0"/>
          <w:numId w:val="4"/>
        </w:numPr>
        <w:tabs>
          <w:tab w:val="left" w:pos="720"/>
        </w:tabs>
        <w:jc w:val="both"/>
      </w:pPr>
      <w:r>
        <w:rPr>
          <w:rFonts w:hint="cs"/>
          <w:rtl/>
        </w:rPr>
        <w:t xml:space="preserve">קציר הדמים של מעשי הנאשם גבה מחיר יקר וטראגי: </w:t>
      </w:r>
    </w:p>
    <w:p w14:paraId="5A38BD28" w14:textId="77777777" w:rsidR="00D218EB" w:rsidRDefault="00D218EB" w:rsidP="00D218EB">
      <w:pPr>
        <w:pStyle w:val="a"/>
        <w:numPr>
          <w:ilvl w:val="0"/>
          <w:numId w:val="0"/>
        </w:numPr>
        <w:tabs>
          <w:tab w:val="left" w:pos="1076"/>
        </w:tabs>
        <w:ind w:left="1360"/>
        <w:jc w:val="both"/>
      </w:pPr>
      <w:r>
        <w:rPr>
          <w:rFonts w:hint="cs"/>
          <w:b/>
          <w:bCs/>
          <w:rtl/>
        </w:rPr>
        <w:t>עלא</w:t>
      </w:r>
      <w:r>
        <w:rPr>
          <w:rFonts w:hint="cs"/>
          <w:rtl/>
        </w:rPr>
        <w:t xml:space="preserve"> נפגע בירי בעכוזו שגרם לדימום שהוביל למותו. בגין מעשה ההמתה של עלא </w:t>
      </w:r>
      <w:r>
        <w:rPr>
          <w:rFonts w:hint="cs"/>
          <w:b/>
          <w:bCs/>
          <w:rtl/>
        </w:rPr>
        <w:t xml:space="preserve">הורשע הנאשם ברצח בנסיבות מחמירות </w:t>
      </w:r>
      <w:r>
        <w:rPr>
          <w:rFonts w:hint="cs"/>
          <w:rtl/>
        </w:rPr>
        <w:t xml:space="preserve">לפי סעיף 301א(א)(1) וסעיף 301א(א)(9) לחוק, נקבע כי מדובר במעשה המתה שבוצע לאחר תכנון והליך ממשי של שקילה, וכי מעשי הנאשם, ירי לכל עבר של קליעים רבים במהלך אירוע חינה רב משתתפים, יצרו סכנה ממשית לאנשים אחרים שנכחו במקום. </w:t>
      </w:r>
    </w:p>
    <w:p w14:paraId="7B1E7F69" w14:textId="77777777" w:rsidR="00D218EB" w:rsidRDefault="00D218EB" w:rsidP="00D218EB">
      <w:pPr>
        <w:pStyle w:val="ad"/>
        <w:tabs>
          <w:tab w:val="left" w:pos="1076"/>
        </w:tabs>
        <w:spacing w:line="360" w:lineRule="auto"/>
        <w:ind w:left="1360"/>
        <w:jc w:val="both"/>
        <w:rPr>
          <w:rFonts w:ascii="David" w:hAnsi="David"/>
          <w:rtl/>
        </w:rPr>
      </w:pPr>
      <w:r>
        <w:rPr>
          <w:rFonts w:ascii="David" w:hAnsi="David"/>
          <w:rtl/>
        </w:rPr>
        <w:t xml:space="preserve">בגין פגיעתו במוחמד ואחמד הורשע הנאשם </w:t>
      </w:r>
      <w:r>
        <w:rPr>
          <w:rFonts w:ascii="David" w:hAnsi="David"/>
          <w:b/>
          <w:bCs/>
          <w:rtl/>
        </w:rPr>
        <w:t>בשתי עבירות של ניסיון רצח ובשתי עבירות של חבלה חמורה בנסיבות מחמירות</w:t>
      </w:r>
      <w:r>
        <w:rPr>
          <w:rFonts w:ascii="David" w:hAnsi="David"/>
          <w:rtl/>
        </w:rPr>
        <w:t>.</w:t>
      </w:r>
      <w:r>
        <w:rPr>
          <w:rFonts w:ascii="David" w:hAnsi="David"/>
          <w:b/>
          <w:bCs/>
          <w:rtl/>
        </w:rPr>
        <w:t xml:space="preserve"> מוחמד </w:t>
      </w:r>
      <w:r>
        <w:rPr>
          <w:rFonts w:ascii="David" w:hAnsi="David"/>
          <w:rtl/>
        </w:rPr>
        <w:t xml:space="preserve">נפגע מהירי בצווארו ובכף רגלו, הובהל לחדר ניתוח, </w:t>
      </w:r>
      <w:proofErr w:type="spellStart"/>
      <w:r>
        <w:rPr>
          <w:rFonts w:ascii="David" w:hAnsi="David"/>
          <w:rtl/>
        </w:rPr>
        <w:t>כפסע</w:t>
      </w:r>
      <w:proofErr w:type="spellEnd"/>
      <w:r>
        <w:rPr>
          <w:rFonts w:ascii="David" w:hAnsi="David"/>
          <w:rtl/>
        </w:rPr>
        <w:t xml:space="preserve"> היה בין פציעתו לבין מותו, ולאחריו נותר מורדם ומונשם למשך 6 ימים. </w:t>
      </w:r>
      <w:r>
        <w:rPr>
          <w:rFonts w:ascii="David" w:hAnsi="David"/>
          <w:b/>
          <w:bCs/>
          <w:rtl/>
        </w:rPr>
        <w:t xml:space="preserve">אחמד </w:t>
      </w:r>
      <w:r>
        <w:rPr>
          <w:rFonts w:ascii="David" w:hAnsi="David"/>
          <w:rtl/>
        </w:rPr>
        <w:t xml:space="preserve">נורה ונפגע בשישה פצעי ירי לאורך ירך ושוק שמאל ובידו השמאלית. אשר למוחמד נקבע כי הפציעות הקשות, כמו גם המרדף של הנאשם אחריו, מעידים על כוונת הקטילה מצדו של הנאשם, וזאת על אף שלא קדם סכסוך כלשהו בין הנאשם לבינו. אשר לאחמד שנורה ראשון, נקבע שהיווה את אחד מיעדיו המרכזיים של הנאשם, הירי לעברו היה מכוון כחלק מתוכנית הנקמה של הנאשם ובוצע במטרה לגרום למותו. </w:t>
      </w:r>
    </w:p>
    <w:p w14:paraId="5A0C9858" w14:textId="77777777" w:rsidR="002C5E13" w:rsidRDefault="002C5E13" w:rsidP="00D218EB">
      <w:pPr>
        <w:pStyle w:val="ad"/>
        <w:tabs>
          <w:tab w:val="left" w:pos="1076"/>
        </w:tabs>
        <w:spacing w:line="360" w:lineRule="auto"/>
        <w:ind w:left="1360"/>
        <w:jc w:val="both"/>
        <w:rPr>
          <w:rFonts w:ascii="David" w:hAnsi="David"/>
          <w:rtl/>
        </w:rPr>
      </w:pPr>
    </w:p>
    <w:p w14:paraId="29607CE9" w14:textId="58A8AD48" w:rsidR="00D218EB" w:rsidRDefault="00D218EB" w:rsidP="00D218EB">
      <w:pPr>
        <w:pStyle w:val="ad"/>
        <w:tabs>
          <w:tab w:val="left" w:pos="1076"/>
        </w:tabs>
        <w:spacing w:line="360" w:lineRule="auto"/>
        <w:ind w:left="1360"/>
        <w:jc w:val="both"/>
        <w:rPr>
          <w:rFonts w:ascii="David" w:hAnsi="David"/>
          <w:rtl/>
        </w:rPr>
      </w:pPr>
      <w:r>
        <w:rPr>
          <w:rFonts w:ascii="David" w:hAnsi="David"/>
          <w:rtl/>
        </w:rPr>
        <w:t xml:space="preserve">באשר </w:t>
      </w:r>
      <w:proofErr w:type="spellStart"/>
      <w:r>
        <w:rPr>
          <w:rFonts w:ascii="David" w:hAnsi="David"/>
          <w:b/>
          <w:bCs/>
          <w:rtl/>
        </w:rPr>
        <w:t>לאיסלאם</w:t>
      </w:r>
      <w:proofErr w:type="spellEnd"/>
      <w:r>
        <w:rPr>
          <w:rFonts w:ascii="David" w:hAnsi="David"/>
          <w:rtl/>
        </w:rPr>
        <w:t xml:space="preserve">, אשר נפצע מירי בקרסולו וספג רסיסים מרובים, נקבע כי לא הוכחה מעבר לספק סביר כוונת הקטילה. לפיכך זוכה הנאשם מחמת הספק מעבירה של ניסיון לרצוח את </w:t>
      </w:r>
      <w:proofErr w:type="spellStart"/>
      <w:r>
        <w:rPr>
          <w:rFonts w:ascii="David" w:hAnsi="David"/>
          <w:rtl/>
        </w:rPr>
        <w:t>איסלאם</w:t>
      </w:r>
      <w:proofErr w:type="spellEnd"/>
      <w:r>
        <w:rPr>
          <w:rFonts w:ascii="David" w:hAnsi="David"/>
          <w:rtl/>
        </w:rPr>
        <w:t>, והורשע בעבירה של חבלה חמורה בנסיבות מחמירות בלבד. עוד הורשע הנאשם בעבירת נשק ו</w:t>
      </w:r>
      <w:r>
        <w:rPr>
          <w:rFonts w:ascii="David" w:hAnsi="David"/>
          <w:b/>
          <w:bCs/>
          <w:rtl/>
        </w:rPr>
        <w:t>בעבירה של שיבוש מהלכי משפט</w:t>
      </w:r>
      <w:r>
        <w:rPr>
          <w:rFonts w:ascii="David" w:hAnsi="David"/>
          <w:rtl/>
        </w:rPr>
        <w:t xml:space="preserve"> נוכח הימלטותו לשטחי האזור במטרה ליצור אליבי שקרי, ומסירת אליבי שקרי בתיאום עם אחרים.</w:t>
      </w:r>
    </w:p>
    <w:p w14:paraId="75A4B4D5" w14:textId="77777777" w:rsidR="00D218EB" w:rsidRDefault="00D218EB" w:rsidP="00D218EB">
      <w:pPr>
        <w:pStyle w:val="a"/>
        <w:numPr>
          <w:ilvl w:val="0"/>
          <w:numId w:val="0"/>
        </w:numPr>
        <w:tabs>
          <w:tab w:val="left" w:pos="1076"/>
        </w:tabs>
        <w:ind w:left="1218"/>
        <w:jc w:val="both"/>
        <w:rPr>
          <w:b/>
          <w:bCs/>
          <w:u w:val="single"/>
          <w:rtl/>
        </w:rPr>
      </w:pPr>
    </w:p>
    <w:p w14:paraId="4ABA4671" w14:textId="77777777" w:rsidR="00D218EB" w:rsidRDefault="00D218EB" w:rsidP="00D218EB">
      <w:pPr>
        <w:spacing w:line="360" w:lineRule="auto"/>
        <w:ind w:firstLine="720"/>
        <w:jc w:val="both"/>
        <w:rPr>
          <w:rFonts w:ascii="David" w:hAnsi="David"/>
          <w:b/>
          <w:bCs/>
          <w:u w:val="single"/>
          <w:rtl/>
        </w:rPr>
      </w:pPr>
      <w:r>
        <w:rPr>
          <w:rFonts w:ascii="David" w:hAnsi="David"/>
          <w:b/>
          <w:bCs/>
          <w:u w:val="single"/>
          <w:rtl/>
        </w:rPr>
        <w:t>תסקיר נפגע עבירה - משפחת המנוח</w:t>
      </w:r>
    </w:p>
    <w:p w14:paraId="672D28A7" w14:textId="77777777" w:rsidR="00D218EB" w:rsidRDefault="00D218EB" w:rsidP="00D218EB">
      <w:pPr>
        <w:pStyle w:val="ad"/>
        <w:numPr>
          <w:ilvl w:val="0"/>
          <w:numId w:val="4"/>
        </w:numPr>
        <w:spacing w:after="160" w:line="360" w:lineRule="auto"/>
        <w:jc w:val="both"/>
        <w:rPr>
          <w:rFonts w:ascii="David" w:hAnsi="David"/>
          <w:u w:val="single"/>
          <w:rtl/>
        </w:rPr>
      </w:pPr>
      <w:r>
        <w:rPr>
          <w:rFonts w:ascii="David" w:hAnsi="David"/>
          <w:rtl/>
        </w:rPr>
        <w:t xml:space="preserve">מתסקיר משפחתו של עלא המנוח עולה תמונת נזק קשה וכואבת ביותר. עלא, בן בכור להורים גרושים, תואר על ידי בני משפחתו כאדם מיוחד, בעל שמחת חיים וטוב לב שהיה בקשרים קרובים וחמים עם בני משפחתו. האופן הפתאומי שבו נגדעו חייו בגיל 26 הותיר את בני משפחתו בטלטלה עמוקה, תחושה של חוסר ביטחון, כאב עמוק, צער ומצוקה קשה עד כדי פגיעה ממשית בתפקוד של חלקם. עורכת התסקיר התרשמה כי בחווייתם של בני המשפחה, הזמן עמד מלכת, הרצח שינה את חייהם לבלי היכר ובאופן שאינו ניתן לאיחוי ושיקום. משפחת המנוח מתפקדת באופן הישרדותי וקיומי ובשלב זה נעדרת פניות וכוחות לתהליך עיבוד האובדן, בני המשפחה מסתגרים בכאבם ומתקשים להישען זה על זה. מאז האובדן שולטת בבית אווירת נכאים וקדרות תמידית העומדת בפער לאווירה השמחה והחיות שאפיינה את בית המשפחה קודם לכן, בני המשפחה אינם חשים בטוחים בטייבה וביקשו את עזרת הרשויות במעבר למקום מגורים אחר. </w:t>
      </w:r>
    </w:p>
    <w:p w14:paraId="4A7D7312" w14:textId="77777777" w:rsidR="00D218EB" w:rsidRDefault="00D218EB" w:rsidP="00D218EB">
      <w:pPr>
        <w:pStyle w:val="ad"/>
        <w:spacing w:after="160" w:line="360" w:lineRule="auto"/>
        <w:jc w:val="both"/>
        <w:rPr>
          <w:rFonts w:ascii="David" w:hAnsi="David"/>
          <w:u w:val="single"/>
        </w:rPr>
      </w:pPr>
    </w:p>
    <w:p w14:paraId="49B462AA" w14:textId="77777777" w:rsidR="00D218EB" w:rsidRDefault="00D218EB" w:rsidP="00D218EB">
      <w:pPr>
        <w:pStyle w:val="ad"/>
        <w:spacing w:after="160" w:line="360" w:lineRule="auto"/>
        <w:ind w:left="1360"/>
        <w:jc w:val="both"/>
        <w:rPr>
          <w:rFonts w:ascii="David" w:hAnsi="David"/>
          <w:rtl/>
        </w:rPr>
      </w:pPr>
      <w:r>
        <w:rPr>
          <w:rFonts w:ascii="David" w:hAnsi="David"/>
          <w:u w:val="single"/>
          <w:rtl/>
        </w:rPr>
        <w:t xml:space="preserve">האם </w:t>
      </w:r>
      <w:r>
        <w:rPr>
          <w:rFonts w:ascii="David" w:hAnsi="David"/>
          <w:rtl/>
        </w:rPr>
        <w:t xml:space="preserve">- הקדישה את חייה לגידול וטיפול בילדים, תיארה את אופיו הטוב של בנה ואת הקשר האמיץ עמו. האם מתקשה לעכל את מותו של בנה, מדי שבוע פוקדת את קברו, מאז הרצח הידרדר מצבה הבריאותי והנפשי. היא נאלצה לעזוב את עבודתה ובהתאם הידרדר גם מצבה הכלכלי. האם אינה משתתפת באירועים משפחתיים או חברתיים ונוטה להסתגר בביתה. הרצח גרם לה להיות תלותית </w:t>
      </w:r>
      <w:proofErr w:type="spellStart"/>
      <w:r>
        <w:rPr>
          <w:rFonts w:ascii="David" w:hAnsi="David"/>
          <w:rtl/>
        </w:rPr>
        <w:t>וחרדתית</w:t>
      </w:r>
      <w:proofErr w:type="spellEnd"/>
      <w:r>
        <w:rPr>
          <w:rFonts w:ascii="David" w:hAnsi="David"/>
          <w:rtl/>
        </w:rPr>
        <w:t xml:space="preserve"> כלפי ילדיה האחרים. עוד שיתפה כי מתגוררת בסמוך לביתו של הנאשם ומפגשים מקריים עם בני משפחתו מסבים לה כאב בלתי נסבל.  </w:t>
      </w:r>
    </w:p>
    <w:p w14:paraId="2839E788" w14:textId="77777777" w:rsidR="00D218EB" w:rsidRDefault="00D218EB" w:rsidP="00D218EB">
      <w:pPr>
        <w:pStyle w:val="ad"/>
        <w:spacing w:after="160" w:line="360" w:lineRule="auto"/>
        <w:ind w:left="1360"/>
        <w:jc w:val="both"/>
        <w:rPr>
          <w:rFonts w:ascii="David" w:hAnsi="David"/>
          <w:u w:val="single"/>
          <w:rtl/>
        </w:rPr>
      </w:pPr>
    </w:p>
    <w:p w14:paraId="507402BB" w14:textId="77777777" w:rsidR="00D218EB" w:rsidRDefault="00D218EB" w:rsidP="00D218EB">
      <w:pPr>
        <w:pStyle w:val="ad"/>
        <w:spacing w:after="160" w:line="360" w:lineRule="auto"/>
        <w:ind w:left="1360"/>
        <w:jc w:val="both"/>
        <w:rPr>
          <w:rFonts w:ascii="David" w:hAnsi="David"/>
          <w:rtl/>
        </w:rPr>
      </w:pPr>
      <w:r>
        <w:rPr>
          <w:rFonts w:ascii="David" w:hAnsi="David"/>
          <w:u w:val="single"/>
          <w:rtl/>
        </w:rPr>
        <w:t>האב</w:t>
      </w:r>
      <w:r>
        <w:rPr>
          <w:rFonts w:ascii="David" w:hAnsi="David"/>
          <w:rtl/>
        </w:rPr>
        <w:t xml:space="preserve"> - נשוי בשנית ולו ילדים מנישואים אלו. בשנת 2020 לקה באירוע מוחי בעקבותיו מתמודד עם מגבלות רבות מבחינה תפקודית, מתקשה לדבר ולתקשר עם סביבתו, בנו המנוח היה יד ימינו, הם עבדו יחד במשך שנים, וגם לאחר המשבר הבריאותי שלו המנוח התלווה אליו לטיפולים וסייע לו בכל. לאחר קבלת הבשורה המרה על בנו התמוטט האב ופונה לבית חולים, ומאז חלה החמרה ניכרת במצבו הבריאותי והתפקודי. האב מתמודד אף הוא עם יגון וכאב רב, תיאר את מות המנוח כאובדן גדול עבורו ועבור בני המשפחה. </w:t>
      </w:r>
    </w:p>
    <w:p w14:paraId="0D998DDD" w14:textId="77777777" w:rsidR="00D218EB" w:rsidRDefault="00D218EB" w:rsidP="00D218EB">
      <w:pPr>
        <w:pStyle w:val="ad"/>
        <w:spacing w:after="160" w:line="360" w:lineRule="auto"/>
        <w:ind w:left="1360"/>
        <w:jc w:val="both"/>
        <w:rPr>
          <w:rFonts w:ascii="David" w:hAnsi="David"/>
          <w:rtl/>
        </w:rPr>
      </w:pPr>
    </w:p>
    <w:p w14:paraId="56E4072A" w14:textId="77777777" w:rsidR="00D218EB" w:rsidRDefault="00D218EB" w:rsidP="00D218EB">
      <w:pPr>
        <w:pStyle w:val="ad"/>
        <w:spacing w:after="160" w:line="360" w:lineRule="auto"/>
        <w:ind w:left="1360"/>
        <w:jc w:val="both"/>
        <w:rPr>
          <w:rFonts w:ascii="David" w:hAnsi="David"/>
          <w:rtl/>
        </w:rPr>
      </w:pPr>
      <w:r>
        <w:rPr>
          <w:rFonts w:ascii="David" w:hAnsi="David"/>
          <w:u w:val="single"/>
          <w:rtl/>
        </w:rPr>
        <w:t>אחיותיו של המנוח</w:t>
      </w:r>
      <w:r>
        <w:rPr>
          <w:rFonts w:ascii="David" w:hAnsi="David"/>
          <w:rtl/>
        </w:rPr>
        <w:t xml:space="preserve">, נ' בת 19 וס' קטינה בת 14, שיתפו בקשר הקרוב והמיוחד שהיה להן עם אחיהם, מאז הרצח סובלות מסיוטים ונדודי שינה, התקשו לחזור לשגרת לימודים ונוהגות להסתגר בבית. נוכח תמונת הנזקים הקשה והצורך העמוק של בני </w:t>
      </w:r>
      <w:r>
        <w:rPr>
          <w:rFonts w:ascii="David" w:hAnsi="David"/>
          <w:rtl/>
        </w:rPr>
        <w:lastRenderedPageBreak/>
        <w:t xml:space="preserve">המשפחה בהכרה בפגיעה הבלתי הפיכה ובסבלם הומלץ להשית על הנאשם פיצוי משמעותי לטובת בני המשפחה.  </w:t>
      </w:r>
    </w:p>
    <w:p w14:paraId="04F3B2B9" w14:textId="77777777" w:rsidR="00D218EB" w:rsidRDefault="00D218EB" w:rsidP="00D218EB">
      <w:pPr>
        <w:pStyle w:val="ad"/>
        <w:spacing w:after="160" w:line="360" w:lineRule="auto"/>
        <w:jc w:val="both"/>
        <w:rPr>
          <w:rFonts w:ascii="David" w:hAnsi="David"/>
          <w:rtl/>
        </w:rPr>
      </w:pPr>
    </w:p>
    <w:p w14:paraId="141C1C3B" w14:textId="77777777" w:rsidR="00D218EB" w:rsidRDefault="00D218EB" w:rsidP="00D218EB">
      <w:pPr>
        <w:spacing w:line="360" w:lineRule="auto"/>
        <w:ind w:firstLine="720"/>
        <w:jc w:val="both"/>
        <w:rPr>
          <w:rFonts w:ascii="David" w:hAnsi="David"/>
          <w:b/>
          <w:bCs/>
          <w:u w:val="single"/>
        </w:rPr>
      </w:pPr>
      <w:r>
        <w:rPr>
          <w:rFonts w:ascii="David" w:hAnsi="David"/>
          <w:b/>
          <w:bCs/>
          <w:u w:val="single"/>
          <w:rtl/>
        </w:rPr>
        <w:t>תמצית הטיעונים לעונש</w:t>
      </w:r>
    </w:p>
    <w:p w14:paraId="1573BFAE" w14:textId="77777777" w:rsidR="00D218EB" w:rsidRDefault="00D218EB" w:rsidP="00D218EB">
      <w:pPr>
        <w:pStyle w:val="ad"/>
        <w:numPr>
          <w:ilvl w:val="0"/>
          <w:numId w:val="4"/>
        </w:numPr>
        <w:spacing w:after="160" w:line="360" w:lineRule="auto"/>
        <w:jc w:val="both"/>
        <w:rPr>
          <w:rFonts w:ascii="David" w:hAnsi="David"/>
          <w:rtl/>
        </w:rPr>
      </w:pPr>
      <w:r>
        <w:rPr>
          <w:rFonts w:ascii="David" w:hAnsi="David"/>
          <w:b/>
          <w:bCs/>
          <w:rtl/>
        </w:rPr>
        <w:t>ב"כ המאשימה</w:t>
      </w:r>
      <w:r>
        <w:rPr>
          <w:rFonts w:ascii="David" w:hAnsi="David"/>
          <w:rtl/>
        </w:rPr>
        <w:t>, עו"ד אופיר פחימה, טענה כי העבירות שביצע הנאשם מהוות אירוע אחד, ועתרה להטיל על הנאשם מאסר עולם בגין רצח עלא, ובגין יתר העבירות, עונש מאסר מצטבר בן 29.5 שנות מאסר בפועל. המאשימה עתרה למתחם בגין יתר העבירות שנע בין 27-32 וביקשה למקם את עונשו של הנאשם במרכז המתחם לצד פיצוי בגובה המרבי הקבוע בחוק למשפחת המנוח, ופיצוי משמעותי לשלושת הנפגעים הנוספים באירוע.</w:t>
      </w:r>
    </w:p>
    <w:p w14:paraId="148D2B30" w14:textId="77777777" w:rsidR="00D218EB" w:rsidRDefault="00D218EB" w:rsidP="00D218EB">
      <w:pPr>
        <w:pStyle w:val="ad"/>
        <w:spacing w:after="160" w:line="360" w:lineRule="auto"/>
        <w:jc w:val="both"/>
        <w:rPr>
          <w:rFonts w:ascii="David" w:hAnsi="David"/>
        </w:rPr>
      </w:pPr>
    </w:p>
    <w:p w14:paraId="06BE9407" w14:textId="77777777" w:rsidR="00D218EB" w:rsidRDefault="00D218EB" w:rsidP="00D218EB">
      <w:pPr>
        <w:pStyle w:val="ad"/>
        <w:spacing w:after="160" w:line="360" w:lineRule="auto"/>
        <w:ind w:left="1360"/>
        <w:jc w:val="both"/>
        <w:rPr>
          <w:rFonts w:ascii="David" w:hAnsi="David"/>
        </w:rPr>
      </w:pPr>
      <w:r>
        <w:rPr>
          <w:rFonts w:ascii="David" w:hAnsi="David"/>
          <w:rtl/>
        </w:rPr>
        <w:t xml:space="preserve">בפתח טיעוניה עמדה המאשימה על פגיעתם הקשה של מעשי הנאשם בערכים המוגנים, ובראשם קדושת החיים ושלמות הגוף. המאשימה הדגישה את הנסיבות המחמירות של המעשים שבוצעו לאחר תכנון והליך ממשי של שקילה ותוך יצירת סכנה ממשית לחייהם של אחרים נוספים. מדובר בהתנקשות מתוכננת היטב, הנאשם פעל כמבצע בלעדי, המתין לשעת כושר מיטבית, בחר את המועד והמקום שבו ידע על הימצאותם של הקורבנות, הצטייד באקדחים וארב לארבעה בסמטה. הנאשם דלק אחריהם ברחוב הומה אדם וירה בהם ירי מסיבי מטווח קצר, תוך סיכון חייהם של רבים אחרים, אורחי החינה ותושבי הרחוב. עוד עמדה המאשימה על הקושי לפענח תיקי רצח במגזר הערבי, במקרה זה העיד עד ראייה יחיד אשר משלם מחיר על שיתוף הפעולה עם הרשויות. </w:t>
      </w:r>
    </w:p>
    <w:p w14:paraId="58417DE0" w14:textId="77777777" w:rsidR="00D218EB" w:rsidRDefault="00D218EB" w:rsidP="00D218EB">
      <w:pPr>
        <w:pStyle w:val="ad"/>
        <w:spacing w:after="160" w:line="360" w:lineRule="auto"/>
        <w:ind w:left="1360"/>
        <w:jc w:val="both"/>
        <w:rPr>
          <w:rFonts w:ascii="David" w:hAnsi="David"/>
          <w:rtl/>
        </w:rPr>
      </w:pPr>
    </w:p>
    <w:p w14:paraId="6386D017" w14:textId="77777777" w:rsidR="00D218EB" w:rsidRDefault="00D218EB" w:rsidP="00D218EB">
      <w:pPr>
        <w:pStyle w:val="ad"/>
        <w:spacing w:after="160" w:line="360" w:lineRule="auto"/>
        <w:ind w:left="1360"/>
        <w:jc w:val="both"/>
        <w:rPr>
          <w:rFonts w:ascii="David" w:hAnsi="David"/>
          <w:rtl/>
        </w:rPr>
      </w:pPr>
      <w:r>
        <w:rPr>
          <w:rFonts w:ascii="David" w:hAnsi="David"/>
          <w:rtl/>
        </w:rPr>
        <w:t xml:space="preserve">בהתייחס לניסיונות הרצח הדגישה ב"כ המאשימה את הצורך לנהוג ביד קשה כלפי מבצע עבירה שמטרתה קיפוח חיי אדם, גם כאשר הקורבן נותר בחיים, ולהעביר מסר מרתיע. הנאשם פגע באופן חמור בערכים של שלמות הגוף, הבריאות הפיזית והנפשית וכן האוטונומיה של אדם על גופו ותחושת הביטחון האישי. אף בעניינו של </w:t>
      </w:r>
      <w:proofErr w:type="spellStart"/>
      <w:r>
        <w:rPr>
          <w:rFonts w:ascii="David" w:hAnsi="David"/>
          <w:rtl/>
        </w:rPr>
        <w:t>איסלאם</w:t>
      </w:r>
      <w:proofErr w:type="spellEnd"/>
      <w:r>
        <w:rPr>
          <w:rFonts w:ascii="David" w:hAnsi="David"/>
          <w:rtl/>
        </w:rPr>
        <w:t xml:space="preserve">, רב היה פוטנציאל הנזק במעשי הנאשם, </w:t>
      </w:r>
      <w:proofErr w:type="spellStart"/>
      <w:r>
        <w:rPr>
          <w:rFonts w:ascii="David" w:hAnsi="David"/>
          <w:rtl/>
        </w:rPr>
        <w:t>ואיסלאם</w:t>
      </w:r>
      <w:proofErr w:type="spellEnd"/>
      <w:r>
        <w:rPr>
          <w:rFonts w:ascii="David" w:hAnsi="David"/>
          <w:rtl/>
        </w:rPr>
        <w:t xml:space="preserve"> אף נפגע בפועל באורח לא קל. עוד עמדה המאשימה על חומרת העבירה של נשיאת נשק בפרט באזור מגורים, כלי הנשק לא נתפסו וקיימת אפשרות שהנשק ממשיך לשמש לביצוע עבירות פליליות. ביחס לעבירת השיבוש נטען כי הנאשם פגע פגיעה חמורה בערכים המוגנים של שלטון החוק, תקינות הליכי חקירה והסדר הציבורי בכך שמילט את עצמו תוך הסתייעות בבני משפחתו, כנגד בני המשפחה, האח והדוד, הוגש כתב אישום בגין חלקם, ועל הדוד נגזר מאסר בפועל. </w:t>
      </w:r>
    </w:p>
    <w:p w14:paraId="45E9FAC4" w14:textId="77777777" w:rsidR="00D218EB" w:rsidRDefault="00D218EB" w:rsidP="00D218EB">
      <w:pPr>
        <w:pStyle w:val="ad"/>
        <w:spacing w:line="360" w:lineRule="auto"/>
        <w:ind w:left="1360"/>
        <w:jc w:val="both"/>
        <w:rPr>
          <w:rFonts w:ascii="David" w:hAnsi="David"/>
        </w:rPr>
      </w:pPr>
      <w:r>
        <w:rPr>
          <w:rFonts w:ascii="David" w:hAnsi="David"/>
          <w:rtl/>
        </w:rPr>
        <w:lastRenderedPageBreak/>
        <w:t>המאשימה הדגישה את הנזק הרב שנגרם כתוצאה מביצוע העבירות למשפחת המנוח, לנפגעי העבירות הנוספים ואת  פוטנציאל הנזק גבוה.</w:t>
      </w:r>
    </w:p>
    <w:p w14:paraId="3C460712" w14:textId="77777777" w:rsidR="00D218EB" w:rsidRDefault="00D218EB" w:rsidP="00D218EB">
      <w:pPr>
        <w:pStyle w:val="ad"/>
        <w:spacing w:line="360" w:lineRule="auto"/>
        <w:ind w:left="1360"/>
        <w:jc w:val="both"/>
        <w:rPr>
          <w:rFonts w:ascii="David" w:hAnsi="David"/>
          <w:rtl/>
        </w:rPr>
      </w:pPr>
      <w:r>
        <w:rPr>
          <w:rFonts w:ascii="David" w:hAnsi="David"/>
          <w:rtl/>
        </w:rPr>
        <w:t xml:space="preserve">   </w:t>
      </w:r>
    </w:p>
    <w:p w14:paraId="658A1D85" w14:textId="77777777" w:rsidR="00D218EB" w:rsidRDefault="00D218EB" w:rsidP="00D218EB">
      <w:pPr>
        <w:pStyle w:val="ad"/>
        <w:spacing w:line="360" w:lineRule="auto"/>
        <w:ind w:left="1360"/>
        <w:jc w:val="both"/>
        <w:rPr>
          <w:rFonts w:ascii="David" w:hAnsi="David"/>
          <w:rtl/>
        </w:rPr>
      </w:pPr>
      <w:r>
        <w:rPr>
          <w:rFonts w:ascii="David" w:hAnsi="David"/>
          <w:rtl/>
        </w:rPr>
        <w:t xml:space="preserve">באשר לסיבות שהובילו לביצוע העבירה, מדובר במעשה נקם מתוכנן, הנאשם ידע כי אחמד ואחיו של המנוח נחשדו בביצוע הירי כלפיו, ועשה דין לעצמו. המאשימה סבורה כי ראוי במקרה זה להטיל ענישה מצטברת משמעותית למאסר עולם, הנאשם הורשע בצבר עבירות חמורות המצדיקות התייחסות מיוחדת ופגע במספר קורבנות.  הוטעם כי כל קורבן ראוי לכך שהפגיעה בו תמצא ביטוי מפורש בעונש באופן שיהלום את חומרת מעשיו ויענה על הצורך בהרתעה. אשר לנסיבות שאינן קשורות לביצוע העבירה - לנאשם הרשעה בעבירה של תקיפת עובד ציבור, הוא לא נטל אחריות על מעשיו, לא ערך ניסיון לתקן את תוצאות מעשיו או לפצות את הנפגעים. </w:t>
      </w:r>
    </w:p>
    <w:p w14:paraId="7E9B6B4D" w14:textId="77777777" w:rsidR="00D218EB" w:rsidRDefault="00D218EB" w:rsidP="00D218EB">
      <w:pPr>
        <w:pStyle w:val="ad"/>
        <w:spacing w:line="360" w:lineRule="auto"/>
        <w:jc w:val="both"/>
        <w:rPr>
          <w:rFonts w:ascii="David" w:hAnsi="David"/>
          <w:rtl/>
        </w:rPr>
      </w:pPr>
    </w:p>
    <w:p w14:paraId="2B707012" w14:textId="77777777" w:rsidR="00D218EB" w:rsidRDefault="00D218EB" w:rsidP="00D218EB">
      <w:pPr>
        <w:pStyle w:val="ad"/>
        <w:numPr>
          <w:ilvl w:val="0"/>
          <w:numId w:val="4"/>
        </w:numPr>
        <w:spacing w:line="360" w:lineRule="auto"/>
        <w:jc w:val="both"/>
        <w:rPr>
          <w:rFonts w:ascii="David" w:hAnsi="David"/>
          <w:rtl/>
        </w:rPr>
      </w:pPr>
      <w:r>
        <w:rPr>
          <w:rFonts w:ascii="David" w:hAnsi="David"/>
          <w:b/>
          <w:bCs/>
          <w:rtl/>
        </w:rPr>
        <w:t>ב"כ הנאשם</w:t>
      </w:r>
      <w:r>
        <w:rPr>
          <w:rFonts w:ascii="David" w:hAnsi="David"/>
          <w:rtl/>
        </w:rPr>
        <w:t xml:space="preserve">, עו"ד רומח שביט, ביקש שלא למצות את הדין עם הנאשם ולהסתפק בעונש מאסר עולם שהוא עונש כבד בפני עצמו. </w:t>
      </w:r>
    </w:p>
    <w:p w14:paraId="13882933" w14:textId="77777777" w:rsidR="00D218EB" w:rsidRDefault="00D218EB" w:rsidP="00D218EB">
      <w:pPr>
        <w:pStyle w:val="ad"/>
        <w:spacing w:line="360" w:lineRule="auto"/>
        <w:ind w:left="1360"/>
        <w:jc w:val="both"/>
        <w:rPr>
          <w:rFonts w:ascii="David" w:hAnsi="David"/>
        </w:rPr>
      </w:pPr>
      <w:r>
        <w:rPr>
          <w:rFonts w:ascii="David" w:hAnsi="David"/>
          <w:rtl/>
        </w:rPr>
        <w:t>לשיטתו, מאחר שהנאשם עומד על חפותו, אין לזקוף לחובתו את בחירתו לנהל הוכחות בתיק, הנאשם קיבל בכאב את הרשעתו במיוחס לו, ומשפחתו חשה כי הושם אות קין על כל המשפחה ושהם מצויים בסיכון. עוד התייחס ב"כ הנאשם לפציעה הקשה של הנאשם לאחר שנורה, מצבו הפיזי והנפשי באותה תקופה מהווה נסיבה מכרעת למעשיו וספק רב אם יכול היה לשלוט במעשיו ולהימנע מהם. נטען כי מדובר ב"סוג של התגרות והתעללות קשה מקדימה" מצד מי מנפגעי העבירה או קרוביהם, גם אם לא באה בתכוף לפני המעשה, הנאשם חווה אירועי ירי חוזרים ונשנים לעבר ביתו. שניים מנפגעי העבירה נורו בפלג גוף תחתון ולא היה סיכון ממשי לחייהם. לפי ידיעתו, שלושת הנפגעים חזרו לתפקוד רגיל.</w:t>
      </w:r>
    </w:p>
    <w:p w14:paraId="69A14804" w14:textId="77777777" w:rsidR="00D218EB" w:rsidRDefault="00D218EB" w:rsidP="00D218EB">
      <w:pPr>
        <w:pStyle w:val="ad"/>
        <w:spacing w:line="360" w:lineRule="auto"/>
        <w:jc w:val="both"/>
        <w:rPr>
          <w:rFonts w:ascii="David" w:hAnsi="David"/>
          <w:rtl/>
        </w:rPr>
      </w:pPr>
    </w:p>
    <w:p w14:paraId="6B54AE06" w14:textId="77777777" w:rsidR="00D218EB" w:rsidRDefault="00D218EB" w:rsidP="00D218EB">
      <w:pPr>
        <w:pStyle w:val="ad"/>
        <w:numPr>
          <w:ilvl w:val="0"/>
          <w:numId w:val="4"/>
        </w:numPr>
        <w:spacing w:after="160" w:line="360" w:lineRule="auto"/>
        <w:jc w:val="both"/>
        <w:rPr>
          <w:rFonts w:ascii="David" w:hAnsi="David"/>
          <w:rtl/>
        </w:rPr>
      </w:pPr>
      <w:r>
        <w:rPr>
          <w:rFonts w:ascii="David" w:hAnsi="David"/>
          <w:rtl/>
        </w:rPr>
        <w:t xml:space="preserve">לעניין יתר העבירות נטען כי מדובר בתוכנית עבריינית אחת ונוכח קיומו של קשר הדוק בין המעשים, ניתן להסתפק בעונש אחד של מאסר עולם. לחילופין עתרה ההגנה להשית עונש שיחפוף למאסר עולם. הנאשם צפוי לרצות מאסר ממושך, ונכון יהיה להותיר לו פתח לתקווה ושיקום. הנאשם הוא כבן 24, ביצע את העבירה בהיותו בן 21, הרשעתו היחידה מאוחרת למעשה. אביו של הנאשם תושב השטחים, אינו רצוי בטייבה, מאז האירוע מתקשה למצוא עבודה ומצבה הכלכלי של המשפחה קשה. מטעם זה ביקש להשית על הנאשם פיצוי מתון.  </w:t>
      </w:r>
    </w:p>
    <w:p w14:paraId="2AA4FD97" w14:textId="77777777" w:rsidR="00D218EB" w:rsidRDefault="00D218EB" w:rsidP="00D218EB">
      <w:pPr>
        <w:pStyle w:val="ad"/>
        <w:spacing w:after="160" w:line="360" w:lineRule="auto"/>
        <w:jc w:val="both"/>
        <w:rPr>
          <w:rFonts w:ascii="David" w:hAnsi="David"/>
        </w:rPr>
      </w:pPr>
    </w:p>
    <w:p w14:paraId="16A1426E" w14:textId="77777777" w:rsidR="00D218EB" w:rsidRDefault="00D218EB" w:rsidP="00D218EB">
      <w:pPr>
        <w:pStyle w:val="ad"/>
        <w:numPr>
          <w:ilvl w:val="0"/>
          <w:numId w:val="4"/>
        </w:numPr>
        <w:spacing w:after="160" w:line="360" w:lineRule="auto"/>
        <w:jc w:val="both"/>
        <w:rPr>
          <w:rFonts w:ascii="David" w:hAnsi="David"/>
        </w:rPr>
      </w:pPr>
      <w:r>
        <w:rPr>
          <w:rFonts w:ascii="David" w:hAnsi="David"/>
          <w:rtl/>
        </w:rPr>
        <w:t xml:space="preserve">מטעם ההגנה הוגשו מכתבים שנכתבו על ידי קרובי משפחתו ומכרים של הנאשם (נע/1). סבתו כתבה שהנאשם אדם טוב, אינו אלים ואינו קשור לעבריינות; דודתו </w:t>
      </w:r>
      <w:r>
        <w:rPr>
          <w:rFonts w:ascii="David" w:hAnsi="David"/>
          <w:rtl/>
        </w:rPr>
        <w:lastRenderedPageBreak/>
        <w:t xml:space="preserve">ציינה כי הנאשם הוא אדם ישר שמושיט עזרה כולם ו"אף פעם לא הציק לבן אדם"; בן דודו כתב כי הנאשם אינו בעייתי, מדובר במי שעושה בחייו מעשים טובים. ביקש להתחשב במצבו ובמצבם של הוריו; חברה של משפחת הנאשם כתבה כי מכירה את הנאשם מיום היוולדו כמי שעושה טוב לכולם, הנאשם מטפל בסבתו בת ה-85 ומלווה אותה לבדיקות. הנאשם עצמו לא ביקש להוסיף על דברי סנגורו. </w:t>
      </w:r>
    </w:p>
    <w:p w14:paraId="437E2EC2" w14:textId="77777777" w:rsidR="00D218EB" w:rsidRDefault="00D218EB" w:rsidP="00D218EB">
      <w:pPr>
        <w:pStyle w:val="ad"/>
        <w:spacing w:line="360" w:lineRule="auto"/>
        <w:jc w:val="both"/>
        <w:rPr>
          <w:rFonts w:ascii="David" w:hAnsi="David"/>
          <w:rtl/>
        </w:rPr>
      </w:pPr>
    </w:p>
    <w:p w14:paraId="5AD4962D" w14:textId="77777777" w:rsidR="00D218EB" w:rsidRDefault="00D218EB" w:rsidP="00D218EB">
      <w:pPr>
        <w:pStyle w:val="ad"/>
        <w:spacing w:line="360" w:lineRule="auto"/>
        <w:jc w:val="both"/>
        <w:rPr>
          <w:rFonts w:ascii="David" w:hAnsi="David"/>
          <w:b/>
          <w:bCs/>
          <w:u w:val="single"/>
          <w:rtl/>
        </w:rPr>
      </w:pPr>
      <w:r>
        <w:rPr>
          <w:rFonts w:ascii="David" w:hAnsi="David"/>
          <w:b/>
          <w:bCs/>
          <w:u w:val="single"/>
          <w:rtl/>
        </w:rPr>
        <w:t>דיון והכרעה</w:t>
      </w:r>
    </w:p>
    <w:p w14:paraId="2892240D" w14:textId="77777777" w:rsidR="00D218EB" w:rsidRDefault="00D218EB" w:rsidP="00D218EB">
      <w:pPr>
        <w:pStyle w:val="ad"/>
        <w:numPr>
          <w:ilvl w:val="0"/>
          <w:numId w:val="4"/>
        </w:numPr>
        <w:spacing w:line="360" w:lineRule="auto"/>
        <w:jc w:val="both"/>
        <w:rPr>
          <w:b/>
          <w:bCs/>
          <w:rtl/>
        </w:rPr>
      </w:pPr>
      <w:r>
        <w:rPr>
          <w:rFonts w:ascii="David" w:hAnsi="David"/>
          <w:rtl/>
        </w:rPr>
        <w:t xml:space="preserve">מקובלת עלינו עמדת הצדדים כי במקרה שבפנינו </w:t>
      </w:r>
      <w:r>
        <w:rPr>
          <w:rFonts w:ascii="David" w:hAnsi="David"/>
          <w:b/>
          <w:bCs/>
          <w:rtl/>
        </w:rPr>
        <w:t>מדובר באירוע אחד</w:t>
      </w:r>
      <w:r>
        <w:rPr>
          <w:rFonts w:ascii="David" w:hAnsi="David"/>
          <w:rtl/>
        </w:rPr>
        <w:t>, למרות שתוצאותיו גרמו לפגיעה במספר קורבנות. מעשיו של הנאשם הם פרי תכנית עבריינית אחת לבוא בחשבון עם מי שחשד שביצעו את הירי כלפיו או מקורבים להם, ולגרום למותם, וקיימת ביניהם זיקה הדוקה. נדגיש, כי אין בקביעה זו כדי להפחית ולו במעט מחומרתה של כל עבירה וממשמעות הפגיעה בכל נפגע עבירה, סוגיה לה נדרש בהמשך.</w:t>
      </w:r>
    </w:p>
    <w:p w14:paraId="097DC930" w14:textId="77777777" w:rsidR="00D218EB" w:rsidRDefault="00D218EB" w:rsidP="00D218EB">
      <w:pPr>
        <w:pStyle w:val="ad"/>
        <w:spacing w:line="360" w:lineRule="auto"/>
        <w:ind w:left="1080"/>
        <w:jc w:val="both"/>
        <w:rPr>
          <w:b/>
          <w:bCs/>
        </w:rPr>
      </w:pPr>
    </w:p>
    <w:p w14:paraId="399BEE56" w14:textId="77777777" w:rsidR="00D218EB" w:rsidRDefault="00D218EB" w:rsidP="00D218EB">
      <w:pPr>
        <w:pStyle w:val="ad"/>
        <w:numPr>
          <w:ilvl w:val="0"/>
          <w:numId w:val="4"/>
        </w:numPr>
        <w:spacing w:line="360" w:lineRule="auto"/>
        <w:jc w:val="both"/>
      </w:pPr>
      <w:r>
        <w:rPr>
          <w:b/>
          <w:bCs/>
          <w:rtl/>
        </w:rPr>
        <w:t xml:space="preserve">נסיבות מעשיו של הנאשם קשות וחמורות ביותר ופגעו פגיעה מרבית בשורה ארוכה של ערכים מוגנים </w:t>
      </w:r>
      <w:r>
        <w:rPr>
          <w:rtl/>
        </w:rPr>
        <w:t xml:space="preserve">ובראשם בערך קדושת החיים, שלמות הגוף והגנה על שלומם וביטחונם של נפגעי העבירה ושל הציבור. הנאשם שנפצע מספר חודשים טרם האירוע מירי כלפיו הגה ותכנן בקור רוח תכנית רצח ונקם אכזרית כנגד מי שחשד שהיו מעורבים בירי והמקורבים להם. לצורך כך הצטייד בשני אקדחים, ובחר במכוון לבצע את הירי באירוע הומה אדם שאליו הוזמנו גם ארבעת נפגעי העבירה. </w:t>
      </w:r>
      <w:r>
        <w:rPr>
          <w:b/>
          <w:bCs/>
          <w:rtl/>
        </w:rPr>
        <w:t>תכנית הרצח הסדורה, מועדה ומיקומה, מעידים כולם שהנאשם תכנן באופן מודע לממשה תוך סיכון וודאי של אנשים נוספים לא מעורבים</w:t>
      </w:r>
      <w:r>
        <w:rPr>
          <w:rtl/>
        </w:rPr>
        <w:t>.</w:t>
      </w:r>
    </w:p>
    <w:p w14:paraId="2E13200D" w14:textId="77777777" w:rsidR="00D218EB" w:rsidRDefault="00D218EB" w:rsidP="00D218EB">
      <w:pPr>
        <w:pStyle w:val="ad"/>
      </w:pPr>
    </w:p>
    <w:p w14:paraId="2EC15F27" w14:textId="77777777" w:rsidR="00D218EB" w:rsidRDefault="00D218EB" w:rsidP="00D218EB">
      <w:pPr>
        <w:pStyle w:val="ad"/>
        <w:numPr>
          <w:ilvl w:val="0"/>
          <w:numId w:val="4"/>
        </w:numPr>
        <w:spacing w:line="360" w:lineRule="auto"/>
        <w:jc w:val="both"/>
        <w:rPr>
          <w:rtl/>
        </w:rPr>
      </w:pPr>
      <w:r>
        <w:rPr>
          <w:rtl/>
        </w:rPr>
        <w:t xml:space="preserve">הנאשם הגיע לטקס החינה, אליו הוזמן, כששני האקדחים מוסתרים תחת בגדיו והמתין לשעת כושר כדי לממש את </w:t>
      </w:r>
      <w:proofErr w:type="spellStart"/>
      <w:r>
        <w:rPr>
          <w:rtl/>
        </w:rPr>
        <w:t>תכניתו</w:t>
      </w:r>
      <w:proofErr w:type="spellEnd"/>
      <w:r>
        <w:rPr>
          <w:rtl/>
        </w:rPr>
        <w:t xml:space="preserve">. הנאשם הפגין העדר מורא כשהגיע גלוי פנים לאירוע רב משתתפים, חלקם מכריו ושכניו. עוד הפגין זלזול עמוק בערך המקודש של חיי אדם ונכונות מקוממת  לסיכון חיי אדם. </w:t>
      </w:r>
      <w:proofErr w:type="spellStart"/>
      <w:r>
        <w:rPr>
          <w:rtl/>
        </w:rPr>
        <w:t>תכניתו</w:t>
      </w:r>
      <w:proofErr w:type="spellEnd"/>
      <w:r>
        <w:rPr>
          <w:rtl/>
        </w:rPr>
        <w:t xml:space="preserve"> הייתה לירות ירי מסיבי באמצעות שני כלי נשק ומחסניות מלאות בסמטה צרה הומת אדם, תוך סיכון מוחשי לכל באי המקום. כפי שניתן היה לראות בסרטונים שצולמו באירוע, מדובר היה במקום צר, רחבת כניסה לבית ולצדה סמטה צרה, גדושות באנשים שהגיעו למקום כדי לשמוח בשמחת עורכי החינה, לרקוד ולאכול. הנאשם ביצע את הירי שעה שהחוגגים רקדו להנאתם, בעודם רוקדים לצלילי המוזיקה נשמעים ברקע קולות ירי, והחוגגים מופתעים ומבוהלים נראים נמלטים לכל עבר. טקס החינה הפך חיש מהר לזירה מדממת, לחתונת דמים. </w:t>
      </w:r>
    </w:p>
    <w:p w14:paraId="4B6C1922" w14:textId="77777777" w:rsidR="00D218EB" w:rsidRDefault="00D218EB" w:rsidP="00D218EB">
      <w:pPr>
        <w:pStyle w:val="ad"/>
      </w:pPr>
    </w:p>
    <w:p w14:paraId="0D0D0F83" w14:textId="77777777" w:rsidR="00D218EB" w:rsidRDefault="00D218EB" w:rsidP="00D218EB">
      <w:pPr>
        <w:pStyle w:val="ad"/>
        <w:numPr>
          <w:ilvl w:val="0"/>
          <w:numId w:val="4"/>
        </w:numPr>
        <w:spacing w:line="360" w:lineRule="auto"/>
        <w:jc w:val="both"/>
        <w:rPr>
          <w:rtl/>
        </w:rPr>
      </w:pPr>
      <w:r>
        <w:rPr>
          <w:rtl/>
        </w:rPr>
        <w:lastRenderedPageBreak/>
        <w:t xml:space="preserve">בהתאם לתוכנית הרצח, שלף את אחד האקדחים, כיוון אותו לעבר קורבנותיו וירה מספר רב של כדורים מטווח קרוב, כתוצאה מהירי אחמד </w:t>
      </w:r>
      <w:proofErr w:type="spellStart"/>
      <w:r>
        <w:rPr>
          <w:rtl/>
        </w:rPr>
        <w:t>ואיסלאם</w:t>
      </w:r>
      <w:proofErr w:type="spellEnd"/>
      <w:r>
        <w:rPr>
          <w:rtl/>
        </w:rPr>
        <w:t xml:space="preserve"> נפצעו והתמוטטו ארצה, ומוחמד ועלא וכן חוגגים נוספים שהיו במקום נמלטו בריצה בהמשך הרחוב. הנאשם לא הפסיק את מעשיו, רדף אחרי מוחמד ועלא תוך שהוא ממשיך לירות לעברם, לאחר שרוקן את תחמושת האקדח, שלף את האקדח הטעון השני שהחזיק על גופו וירה באמצעותו יריות רבות לעבר מוחמד ועלא תוך שהוא רודף אחריהם עד שהצליח לפגוע בהם, תחילה פגע בירייה בצווארו של מוחמד וזה התמוטט ארצה, הנאשם המשיך לרדוף אחרי עלא תוך שיורה לעברו, עד שפגע בעכוזו, ירי שגרם למותו. הנאשם ביצע את מעשיו לבדו, משפחתו סייעה לו רק לאחר מעשה כדי לנסות למלטו מהמשטרה. </w:t>
      </w:r>
      <w:r>
        <w:rPr>
          <w:b/>
          <w:bCs/>
          <w:rtl/>
        </w:rPr>
        <w:t xml:space="preserve">הצטיידות הנאשם בשני אקדחים טעונים מעידה כי תכנן לבצע ירי מסיבי, מעשיו מעידים על נחישותו לממש את יעדי </w:t>
      </w:r>
      <w:proofErr w:type="spellStart"/>
      <w:r>
        <w:rPr>
          <w:b/>
          <w:bCs/>
          <w:rtl/>
        </w:rPr>
        <w:t>תכניתו</w:t>
      </w:r>
      <w:proofErr w:type="spellEnd"/>
      <w:r>
        <w:rPr>
          <w:b/>
          <w:bCs/>
          <w:rtl/>
        </w:rPr>
        <w:t xml:space="preserve"> גם במחיר של סיכון חייהם של רבים אחרים שאינם מעורבים. הנאשם יכול היה לחדול ממעשיו בכל עת אך לא הרפה והמשיך לירות ללא היסוס עד שהצליח לפגוע בכל ארבעת קורבנותיו.</w:t>
      </w:r>
      <w:r>
        <w:rPr>
          <w:rtl/>
        </w:rPr>
        <w:t xml:space="preserve"> זה המקום לציין, כי למעט אחמד שנחשד במעורבות בירי בו, לכל שלושת נפגעי העבירה לא היה קשר ישיר למעשה. </w:t>
      </w:r>
    </w:p>
    <w:p w14:paraId="4918C61E" w14:textId="77777777" w:rsidR="00D218EB" w:rsidRDefault="00D218EB" w:rsidP="00D218EB">
      <w:pPr>
        <w:pStyle w:val="ad"/>
      </w:pPr>
    </w:p>
    <w:p w14:paraId="56754936" w14:textId="77777777" w:rsidR="00D218EB" w:rsidRDefault="00D218EB" w:rsidP="00D218EB">
      <w:pPr>
        <w:pStyle w:val="ad"/>
        <w:numPr>
          <w:ilvl w:val="0"/>
          <w:numId w:val="4"/>
        </w:numPr>
        <w:spacing w:line="360" w:lineRule="auto"/>
        <w:jc w:val="both"/>
        <w:rPr>
          <w:rtl/>
        </w:rPr>
      </w:pPr>
      <w:r>
        <w:rPr>
          <w:rtl/>
        </w:rPr>
        <w:t xml:space="preserve">טענות ההגנה לפיהן הנאשם פעל בתגובה להתגרות בו, ונוכח מצבו הפיזי והנפשי באותה עת, לא יכול היה להימנע מביצוע מעשיו, מוטב היה שלא נטענו. מעשי הנאשם בוצעו מספר חודשים לאחר הירי כלפיו, הנאשם ידע היטב כי חלק מקורבנותיו אינם קשורים לאירוע,  הנאשם תכנן את תכנית הרצח והנקמה לפרטי פרטים, ביצע פעולות הכנה, בחר במכוון את מועד מימוש </w:t>
      </w:r>
      <w:proofErr w:type="spellStart"/>
      <w:r>
        <w:rPr>
          <w:rtl/>
        </w:rPr>
        <w:t>תכניתו</w:t>
      </w:r>
      <w:proofErr w:type="spellEnd"/>
      <w:r>
        <w:rPr>
          <w:rtl/>
        </w:rPr>
        <w:t xml:space="preserve"> ואת מיקומה באופן שמעיד שעשה כן לאחר חשיבה ושקילה. </w:t>
      </w:r>
    </w:p>
    <w:p w14:paraId="6C866E10" w14:textId="77777777" w:rsidR="00D218EB" w:rsidRDefault="00D218EB" w:rsidP="00D218EB">
      <w:pPr>
        <w:pStyle w:val="ad"/>
        <w:rPr>
          <w:rtl/>
        </w:rPr>
      </w:pPr>
    </w:p>
    <w:p w14:paraId="7C3946A8" w14:textId="77777777" w:rsidR="00D218EB" w:rsidRDefault="00D218EB" w:rsidP="00D218EB">
      <w:pPr>
        <w:pStyle w:val="ad"/>
        <w:numPr>
          <w:ilvl w:val="0"/>
          <w:numId w:val="4"/>
        </w:numPr>
        <w:spacing w:line="360" w:lineRule="auto"/>
        <w:jc w:val="both"/>
        <w:rPr>
          <w:rFonts w:ascii="David" w:hAnsi="David"/>
          <w:rtl/>
        </w:rPr>
      </w:pPr>
      <w:r>
        <w:rPr>
          <w:b/>
          <w:bCs/>
          <w:rtl/>
        </w:rPr>
        <w:t>הנזק שהסבו מעשי הנאשם הוא ברף גבוה ביותר</w:t>
      </w:r>
      <w:r>
        <w:rPr>
          <w:rtl/>
        </w:rPr>
        <w:t xml:space="preserve">. הנאשם גדע את חייו של עלא בדמי ימיו אך בשל כך שאחיו נחשד בירי בנאשם. כעולה מתסקיר משפחת המנוח, עלא היה איש צעיר וחיובי שהיווה את עמוד התווך במשפחתו, מעשיו המיתו אסון על משפחתו, שבעבורה מאז הרצח הזמן עצר ללכת ובני המשפחה מתקשים לתפקד ולחזור לשגרת חייהם. הנאשם פגע פגיעות קשות גם בשלושת נפגעי העבירה הנוספים, </w:t>
      </w:r>
      <w:r>
        <w:rPr>
          <w:rFonts w:ascii="David" w:hAnsi="David"/>
          <w:rtl/>
        </w:rPr>
        <w:t>מוחמד</w:t>
      </w:r>
      <w:r>
        <w:rPr>
          <w:rFonts w:ascii="David" w:hAnsi="David"/>
          <w:b/>
          <w:bCs/>
          <w:rtl/>
        </w:rPr>
        <w:t xml:space="preserve"> </w:t>
      </w:r>
      <w:r>
        <w:rPr>
          <w:rFonts w:ascii="David" w:hAnsi="David"/>
          <w:rtl/>
        </w:rPr>
        <w:t xml:space="preserve">נפגע מהירי בצווארו ובכף רגלו, </w:t>
      </w:r>
      <w:proofErr w:type="spellStart"/>
      <w:r>
        <w:rPr>
          <w:rFonts w:ascii="David" w:hAnsi="David"/>
          <w:rtl/>
        </w:rPr>
        <w:t>כפסע</w:t>
      </w:r>
      <w:proofErr w:type="spellEnd"/>
      <w:r>
        <w:rPr>
          <w:rFonts w:ascii="David" w:hAnsi="David"/>
          <w:rtl/>
        </w:rPr>
        <w:t xml:space="preserve"> היה בין פציעתו לבין מותו, ולאחריו נותר מורדם ומונשם למשך מספר ימים, אחמד</w:t>
      </w:r>
      <w:r>
        <w:rPr>
          <w:rFonts w:ascii="David" w:hAnsi="David"/>
          <w:b/>
          <w:bCs/>
          <w:rtl/>
        </w:rPr>
        <w:t xml:space="preserve"> </w:t>
      </w:r>
      <w:r>
        <w:rPr>
          <w:rFonts w:ascii="David" w:hAnsi="David"/>
          <w:rtl/>
        </w:rPr>
        <w:t xml:space="preserve">נורה ונפגע </w:t>
      </w:r>
      <w:r>
        <w:rPr>
          <w:rFonts w:ascii="David" w:hAnsi="David"/>
          <w:b/>
          <w:bCs/>
          <w:rtl/>
        </w:rPr>
        <w:t>בשישה</w:t>
      </w:r>
      <w:r>
        <w:rPr>
          <w:rFonts w:ascii="David" w:hAnsi="David"/>
          <w:rtl/>
        </w:rPr>
        <w:t xml:space="preserve"> פצעי ירי לאורך ירך ושוק שמאל ובידו השמאלית. </w:t>
      </w:r>
      <w:proofErr w:type="spellStart"/>
      <w:r>
        <w:rPr>
          <w:rFonts w:ascii="David" w:hAnsi="David"/>
          <w:rtl/>
        </w:rPr>
        <w:t>איסלאם</w:t>
      </w:r>
      <w:proofErr w:type="spellEnd"/>
      <w:r>
        <w:rPr>
          <w:rFonts w:ascii="David" w:hAnsi="David"/>
          <w:rtl/>
        </w:rPr>
        <w:t xml:space="preserve"> נפגע בקרסולו. זאת בנוסף לטראומה הקשה ועוגמת הנפש שנגרמה לנפגעי העבירה שהיו עדים גם לרצח חברם. כפי שכבר צוין, </w:t>
      </w:r>
      <w:r>
        <w:rPr>
          <w:rFonts w:ascii="David" w:hAnsi="David"/>
          <w:b/>
          <w:bCs/>
          <w:rtl/>
        </w:rPr>
        <w:t>פוטנציאל הנזק של מעשי הנאשם אף הוא משמעותי</w:t>
      </w:r>
      <w:r>
        <w:rPr>
          <w:rFonts w:ascii="David" w:hAnsi="David"/>
          <w:rtl/>
        </w:rPr>
        <w:t xml:space="preserve">. הנאשם לא חס על חיי האחרים שנכחו במקום ואך בנס לא נפגעו ממעשיו רבים נוספים. ניתן רק לשוות בדמיוננו את האימה והפחד </w:t>
      </w:r>
      <w:r>
        <w:rPr>
          <w:rFonts w:ascii="David" w:hAnsi="David"/>
          <w:rtl/>
        </w:rPr>
        <w:lastRenderedPageBreak/>
        <w:t xml:space="preserve">שחשו כל באי החינה ובראשם הזוג החוגג נוכח מעשי הנאשם, וכשהתחוור להם שזה תכנן מראש לנצל את יום חגם לצורך נקמת דם.  </w:t>
      </w:r>
    </w:p>
    <w:p w14:paraId="3C589C22" w14:textId="77777777" w:rsidR="00D218EB" w:rsidRDefault="00D218EB" w:rsidP="00D218EB">
      <w:pPr>
        <w:pStyle w:val="ad"/>
        <w:rPr>
          <w:rFonts w:ascii="David" w:hAnsi="David"/>
        </w:rPr>
      </w:pPr>
    </w:p>
    <w:p w14:paraId="2E6A9CFE" w14:textId="77777777" w:rsidR="00D218EB" w:rsidRDefault="00D218EB" w:rsidP="00D218EB">
      <w:pPr>
        <w:pStyle w:val="ad"/>
        <w:numPr>
          <w:ilvl w:val="0"/>
          <w:numId w:val="4"/>
        </w:numPr>
        <w:spacing w:line="360" w:lineRule="auto"/>
        <w:jc w:val="both"/>
        <w:rPr>
          <w:rtl/>
        </w:rPr>
      </w:pPr>
      <w:r>
        <w:rPr>
          <w:b/>
          <w:bCs/>
          <w:rtl/>
        </w:rPr>
        <w:t>הנאשם הורשע כאמור ברצח עלא המנוח בנסיבות מחמירות לאחר שקילה ותכנון ותוך שיצר סיכון ממשי לחיי אחרים, טיב מעשיו מלמדים על מידת אשם גבוהה ביותר. בגין מעשה זה, כמצוות סעיף 301א לחוק, יוטל על הנאשם עונש מאסר עולם כעונש חובה</w:t>
      </w:r>
      <w:r>
        <w:rPr>
          <w:rtl/>
        </w:rPr>
        <w:t>.</w:t>
      </w:r>
    </w:p>
    <w:p w14:paraId="4B15918B" w14:textId="77777777" w:rsidR="00D218EB" w:rsidRDefault="00D218EB" w:rsidP="00D218EB">
      <w:pPr>
        <w:pStyle w:val="ad"/>
      </w:pPr>
    </w:p>
    <w:p w14:paraId="157D5019" w14:textId="77777777" w:rsidR="00D218EB" w:rsidRDefault="00D218EB" w:rsidP="00D218EB">
      <w:pPr>
        <w:pStyle w:val="ad"/>
        <w:numPr>
          <w:ilvl w:val="0"/>
          <w:numId w:val="4"/>
        </w:numPr>
        <w:spacing w:line="360" w:lineRule="auto"/>
        <w:jc w:val="both"/>
        <w:rPr>
          <w:rtl/>
        </w:rPr>
      </w:pPr>
      <w:r>
        <w:rPr>
          <w:rtl/>
        </w:rPr>
        <w:t xml:space="preserve">אך בכך לא די. הנאשם הורשע בשתי עבירות נוספות של ניסיון לרצח לצד חבלה חמורה בנסיבות מחמירות כלפי אחמד ומוחמד, וכן בחבלה חמורה בנסיבות מחמירות כלפי </w:t>
      </w:r>
      <w:proofErr w:type="spellStart"/>
      <w:r>
        <w:rPr>
          <w:rtl/>
        </w:rPr>
        <w:t>איסלאם</w:t>
      </w:r>
      <w:proofErr w:type="spellEnd"/>
      <w:r>
        <w:rPr>
          <w:rtl/>
        </w:rPr>
        <w:t xml:space="preserve">, ובעבירות נלוות של נשיאת נשק ושיבוש מהלכי משפט. </w:t>
      </w:r>
    </w:p>
    <w:p w14:paraId="03769751" w14:textId="77777777" w:rsidR="00D218EB" w:rsidRDefault="00D218EB" w:rsidP="00D218EB">
      <w:pPr>
        <w:pStyle w:val="ad"/>
      </w:pPr>
    </w:p>
    <w:p w14:paraId="7797B5CB" w14:textId="77777777" w:rsidR="00D218EB" w:rsidRDefault="00D218EB" w:rsidP="00D218EB">
      <w:pPr>
        <w:pStyle w:val="ad"/>
        <w:numPr>
          <w:ilvl w:val="0"/>
          <w:numId w:val="4"/>
        </w:numPr>
        <w:spacing w:line="360" w:lineRule="auto"/>
        <w:jc w:val="both"/>
        <w:rPr>
          <w:rtl/>
        </w:rPr>
      </w:pPr>
      <w:r>
        <w:rPr>
          <w:b/>
          <w:bCs/>
          <w:rtl/>
        </w:rPr>
        <w:t>ניסיון לרצח</w:t>
      </w:r>
      <w:r>
        <w:rPr>
          <w:rtl/>
        </w:rPr>
        <w:t xml:space="preserve"> מעצם טיבו מנוי ברשימת העבירות החמורות ביותר בספר החוקים, הפסיקה עמדה לא אחת על חובתו של בית המשפט "</w:t>
      </w:r>
      <w:r>
        <w:rPr>
          <w:b/>
          <w:bCs/>
          <w:rtl/>
        </w:rPr>
        <w:t>לנהוג ביד קשה כלפי מבצעי עבירה הבאים לקפח חיי אדם – גם כאשר קרבן העבירה נותר בחיים</w:t>
      </w:r>
      <w:r>
        <w:rPr>
          <w:rtl/>
        </w:rPr>
        <w:t xml:space="preserve">" (ע"פ 3879/21 </w:t>
      </w:r>
      <w:r>
        <w:rPr>
          <w:b/>
          <w:bCs/>
          <w:rtl/>
        </w:rPr>
        <w:t xml:space="preserve">סלומון נ' מדינת ישראל, </w:t>
      </w:r>
      <w:r>
        <w:rPr>
          <w:rtl/>
        </w:rPr>
        <w:t>פס' 28 (10.8.22) (להלן: "</w:t>
      </w:r>
      <w:r>
        <w:rPr>
          <w:b/>
          <w:bCs/>
          <w:rtl/>
        </w:rPr>
        <w:t>עניין סלומון</w:t>
      </w:r>
      <w:r>
        <w:rPr>
          <w:rtl/>
        </w:rPr>
        <w:t xml:space="preserve">"), וכי מדיניות הענישה במקרים אלו מחייבת גישה מחמירה, תוך מתן משקל בכורה לשיקולי גמול והרתעה, והשתת תקופות מאסר ממושכות, הנמדדות בשנים ארוכות [ע"פ 4372/13 </w:t>
      </w:r>
      <w:proofErr w:type="spellStart"/>
      <w:r>
        <w:rPr>
          <w:b/>
          <w:bCs/>
          <w:rtl/>
        </w:rPr>
        <w:t>סיסאי</w:t>
      </w:r>
      <w:proofErr w:type="spellEnd"/>
      <w:r>
        <w:rPr>
          <w:b/>
          <w:bCs/>
          <w:rtl/>
        </w:rPr>
        <w:t xml:space="preserve"> נ' מדינת ישראל</w:t>
      </w:r>
      <w:r>
        <w:rPr>
          <w:rtl/>
        </w:rPr>
        <w:t xml:space="preserve">, פס' 18 (6.8.2014); ע"פ 2879/21 </w:t>
      </w:r>
      <w:proofErr w:type="spellStart"/>
      <w:r>
        <w:rPr>
          <w:b/>
          <w:bCs/>
          <w:rtl/>
        </w:rPr>
        <w:t>טדסה</w:t>
      </w:r>
      <w:proofErr w:type="spellEnd"/>
      <w:r>
        <w:rPr>
          <w:b/>
          <w:bCs/>
          <w:rtl/>
        </w:rPr>
        <w:t xml:space="preserve"> נ' מדינת ישראל</w:t>
      </w:r>
      <w:r>
        <w:rPr>
          <w:rtl/>
        </w:rPr>
        <w:t>, (10.8.22)]</w:t>
      </w:r>
      <w:r>
        <w:rPr>
          <w:rFonts w:asciiTheme="minorHAnsi" w:eastAsiaTheme="minorHAnsi" w:hAnsiTheme="minorHAnsi"/>
          <w:rtl/>
        </w:rPr>
        <w:t>).</w:t>
      </w:r>
      <w:r>
        <w:rPr>
          <w:rtl/>
        </w:rPr>
        <w:t xml:space="preserve"> בענייננו מדובר בניסיון לרצח שני קורבנות תוך שימוש בנשק חם, לאחר תכנון ומתוך נחישות לגרום למותם, וכתוצאה מכך נגרמו לאחמד ומוחמד חבלות חמורות. </w:t>
      </w:r>
    </w:p>
    <w:p w14:paraId="122635DE" w14:textId="77777777" w:rsidR="00D218EB" w:rsidRDefault="00D218EB" w:rsidP="00D218EB">
      <w:pPr>
        <w:pStyle w:val="ad"/>
        <w:spacing w:line="360" w:lineRule="auto"/>
        <w:jc w:val="both"/>
      </w:pPr>
    </w:p>
    <w:p w14:paraId="5EED48B5" w14:textId="77777777" w:rsidR="00D218EB" w:rsidRDefault="00D218EB" w:rsidP="00D218EB">
      <w:pPr>
        <w:pStyle w:val="ad"/>
        <w:numPr>
          <w:ilvl w:val="0"/>
          <w:numId w:val="4"/>
        </w:numPr>
        <w:spacing w:line="360" w:lineRule="auto"/>
        <w:jc w:val="both"/>
      </w:pPr>
      <w:r>
        <w:rPr>
          <w:rtl/>
        </w:rPr>
        <w:t xml:space="preserve">רמת הענישה הנוהגת בעבירת ניסיון רצח בנשק חם היא מאסר בפועל לתקופות ממושכות. </w:t>
      </w:r>
      <w:r>
        <w:rPr>
          <w:b/>
          <w:bCs/>
          <w:rtl/>
        </w:rPr>
        <w:t>בעניין סלומון</w:t>
      </w:r>
      <w:r>
        <w:rPr>
          <w:rtl/>
        </w:rPr>
        <w:t xml:space="preserve"> הורשע הנאשם בעבירה של ניסיון רצח בכך שירה באקדחו שהחזיק כדין לעבר חבורת צעירים שהקימו רעש מחוץ לביתו ולא שעו לבקשותיו לחדול מכך. כתוצאה מהירי נפצע אחד הצעירים בראשו פציעות קשות ובלתי הפיכות. נקבע מתחם ענישה הנע בין 14-18 שנות מאסר, על הנאשם נגזרו 15 שנות מאסר. ערעורו נדחה. נסיבות המעשה שבפנינו חמורות יותר, מאחר שבוצעו בתכנון וללא ויכוח מקדים; בע"פ 3810/17 </w:t>
      </w:r>
      <w:r>
        <w:rPr>
          <w:b/>
          <w:bCs/>
          <w:rtl/>
        </w:rPr>
        <w:t>מסעד נ' מדינת ישראל</w:t>
      </w:r>
      <w:r>
        <w:rPr>
          <w:rtl/>
        </w:rPr>
        <w:t xml:space="preserve"> (05.08.19) המערער הורשע, לאחר  שמיעת ראיות, בביצוע עבירות ניסיון לרצח בגין כך שניסה לרצוח את מנהל הגביה במועצת הישוב בו התגורר, על רקע מורת רוחו מפעולת גביה שבוצעה כשעתיים קודם לירי, ועקב הזלזול שחש בהתנהלותו של המתלונן אשר לא שעה לפניותיו בעת שניסה להסדיר עמו את העניין. המערער ירה במתלונן במכוון, ממרחק קצר, באמצעות אקדחו בו החזיק ברישיון. כתוצאה מהפגיעה נגרם למתלונן עיוורון דו צדדי </w:t>
      </w:r>
      <w:r>
        <w:rPr>
          <w:rtl/>
        </w:rPr>
        <w:lastRenderedPageBreak/>
        <w:t>מלא, שברים בעצמות הגולגולת ומפרצות בכלי הדם במוח. בית המשפט המחוזי קבע כי מתחם העונש ההולם נע בין 15-19 שנות מאסר, וגזר על המערער 18 שנות מאסר בפועל. למשמע הערות בית המשפט העליון, חזר בו המערער מערעורו.</w:t>
      </w:r>
    </w:p>
    <w:p w14:paraId="500B3765" w14:textId="77777777" w:rsidR="00D218EB" w:rsidRDefault="00D218EB" w:rsidP="00D218EB">
      <w:pPr>
        <w:pStyle w:val="ad"/>
      </w:pPr>
    </w:p>
    <w:p w14:paraId="59591041" w14:textId="77777777" w:rsidR="00D218EB" w:rsidRDefault="00D218EB" w:rsidP="00D218EB">
      <w:pPr>
        <w:pStyle w:val="ad"/>
        <w:numPr>
          <w:ilvl w:val="0"/>
          <w:numId w:val="4"/>
        </w:numPr>
        <w:spacing w:line="360" w:lineRule="auto"/>
        <w:jc w:val="both"/>
        <w:rPr>
          <w:rFonts w:ascii="David" w:hAnsi="David"/>
          <w:rtl/>
        </w:rPr>
      </w:pPr>
      <w:r>
        <w:rPr>
          <w:b/>
          <w:bCs/>
          <w:rtl/>
        </w:rPr>
        <w:t>אשר לעבירה של חבלה חמורה בנסיבות מחמירות -</w:t>
      </w:r>
      <w:r>
        <w:rPr>
          <w:rtl/>
        </w:rPr>
        <w:t xml:space="preserve"> בתי המשפט עמדו רבות על חומרת התופעה של שימוש באלימות ובנשק קר או חם ליישוב מחלוקות, </w:t>
      </w:r>
      <w:r>
        <w:rPr>
          <w:noProof/>
          <w:rtl/>
        </w:rPr>
        <w:t xml:space="preserve">נגע רע שפשה בחברה הישראלית, על כל גווניה וצורותיה, </w:t>
      </w:r>
      <w:r>
        <w:rPr>
          <w:rtl/>
        </w:rPr>
        <w:t>וגובה</w:t>
      </w:r>
      <w:r>
        <w:rPr>
          <w:noProof/>
          <w:rtl/>
        </w:rPr>
        <w:t xml:space="preserve"> לעיתים קרובות קורבנות בגוף ובנפש. </w:t>
      </w:r>
      <w:r>
        <w:rPr>
          <w:rtl/>
        </w:rPr>
        <w:t xml:space="preserve">עוד ניכרת בפסיקה מגמה של החמרת רף הענישה בעבירות מסוג זה, שלרוב מבוצעות באמצעות נשק קר. בע"פ 3867/23 </w:t>
      </w:r>
      <w:r>
        <w:rPr>
          <w:b/>
          <w:bCs/>
          <w:rtl/>
        </w:rPr>
        <w:t xml:space="preserve">מדינת ישראל נ' </w:t>
      </w:r>
      <w:proofErr w:type="spellStart"/>
      <w:r>
        <w:rPr>
          <w:b/>
          <w:bCs/>
          <w:rtl/>
        </w:rPr>
        <w:t>שנקור</w:t>
      </w:r>
      <w:proofErr w:type="spellEnd"/>
      <w:r>
        <w:rPr>
          <w:b/>
          <w:bCs/>
          <w:rtl/>
        </w:rPr>
        <w:t xml:space="preserve"> </w:t>
      </w:r>
      <w:r>
        <w:rPr>
          <w:rtl/>
        </w:rPr>
        <w:t xml:space="preserve">(11.7.23) הורשע נאשם בכך שדקר אחר בעקבות קטטה מספר דקירות באמצעות סכין וגרם לו חבלות חמורות. בית המשפט המחוזי קבע מתחם שנע בין 24-48 וגזר על הנאשם, 34 חודשי מאסר. בית המשפט העליון קיבל את ערעור המדינה, החמיר בעונשו "באופן מדוד" כלשונו והעמידו על 45 חודשי מאסר; </w:t>
      </w:r>
      <w:r>
        <w:rPr>
          <w:rFonts w:ascii="David" w:hAnsi="David"/>
          <w:rtl/>
        </w:rPr>
        <w:t xml:space="preserve">בע"פ 9306/20 </w:t>
      </w:r>
      <w:proofErr w:type="spellStart"/>
      <w:r>
        <w:rPr>
          <w:rFonts w:ascii="David" w:hAnsi="David"/>
          <w:b/>
          <w:bCs/>
          <w:rtl/>
        </w:rPr>
        <w:t>ברגות</w:t>
      </w:r>
      <w:proofErr w:type="spellEnd"/>
      <w:r>
        <w:rPr>
          <w:rFonts w:ascii="David" w:hAnsi="David"/>
          <w:b/>
          <w:bCs/>
          <w:rtl/>
        </w:rPr>
        <w:t xml:space="preserve"> נ' מדינת ישראל</w:t>
      </w:r>
      <w:r>
        <w:rPr>
          <w:rFonts w:ascii="David" w:hAnsi="David"/>
          <w:rtl/>
        </w:rPr>
        <w:t xml:space="preserve"> (29.4.2021) נדחה ערעורו של נאשם שהורשע בעבירה של חבלה חמורה בנסיבות מחמירות לפי סעיפים 333, 335(א)(1) ו335(א)(2) ביחד עם עבירה של נשיאת נשק. הנאשם הורשע כי הוא ואחר הגיעו ברכב לזירת האירוע, ירו לכיוונו של המתלונן בעוד אנשים רבים נמצאים מסביב ופצעו את המתלונן ברגלו. בית המשפט המחוזי גזר את עונשו והשית עליו 42 חודשי מאסר לצד ענישה נלווית. בית המשפט העליון דחה את ערעורו תוך שהוא מציין כי העונש אף נוטה </w:t>
      </w:r>
      <w:proofErr w:type="spellStart"/>
      <w:r>
        <w:rPr>
          <w:rFonts w:ascii="David" w:hAnsi="David"/>
          <w:rtl/>
        </w:rPr>
        <w:t>לקולא</w:t>
      </w:r>
      <w:proofErr w:type="spellEnd"/>
      <w:r>
        <w:rPr>
          <w:rFonts w:ascii="David" w:hAnsi="David"/>
          <w:rtl/>
        </w:rPr>
        <w:t>.</w:t>
      </w:r>
    </w:p>
    <w:p w14:paraId="48D18366" w14:textId="77777777" w:rsidR="00D218EB" w:rsidRDefault="00D218EB" w:rsidP="00D218EB">
      <w:pPr>
        <w:pStyle w:val="ad"/>
        <w:rPr>
          <w:rtl/>
        </w:rPr>
      </w:pPr>
    </w:p>
    <w:p w14:paraId="28AACE93" w14:textId="77777777" w:rsidR="00D218EB" w:rsidRDefault="00D218EB" w:rsidP="00D218EB">
      <w:pPr>
        <w:pStyle w:val="ad"/>
        <w:spacing w:line="360" w:lineRule="auto"/>
        <w:ind w:left="1353"/>
        <w:jc w:val="both"/>
        <w:rPr>
          <w:rtl/>
        </w:rPr>
      </w:pPr>
      <w:r>
        <w:rPr>
          <w:rtl/>
        </w:rPr>
        <w:t xml:space="preserve">במאמר מוסגר יצוין כי העבירה של חבלה חמורה כלפי </w:t>
      </w:r>
      <w:proofErr w:type="spellStart"/>
      <w:r>
        <w:rPr>
          <w:rtl/>
        </w:rPr>
        <w:t>איסלאם</w:t>
      </w:r>
      <w:proofErr w:type="spellEnd"/>
      <w:r>
        <w:rPr>
          <w:rtl/>
        </w:rPr>
        <w:t xml:space="preserve"> צריכה לקבל ביטוי נפרד, הואיל ומדובר בנפגע עבירה נפרד, וזאת במובחן מעבירת החבלה החמורה כלפי אחמד ומוחמד, אשר "נבלעת" בעבירת ניסיון הרצח, הואיל ומדובר במעשה אחד. </w:t>
      </w:r>
    </w:p>
    <w:p w14:paraId="3BC3B42B" w14:textId="77777777" w:rsidR="00D218EB" w:rsidRDefault="00D218EB" w:rsidP="00D218EB">
      <w:pPr>
        <w:pStyle w:val="ad"/>
        <w:spacing w:line="360" w:lineRule="auto"/>
        <w:ind w:left="1353"/>
        <w:jc w:val="both"/>
        <w:rPr>
          <w:rtl/>
        </w:rPr>
      </w:pPr>
    </w:p>
    <w:p w14:paraId="5DE3BC7F" w14:textId="77777777" w:rsidR="00D218EB" w:rsidRDefault="00D218EB" w:rsidP="00D218EB">
      <w:pPr>
        <w:spacing w:line="360" w:lineRule="auto"/>
        <w:ind w:left="1353"/>
        <w:jc w:val="both"/>
      </w:pPr>
      <w:r>
        <w:rPr>
          <w:rtl/>
        </w:rPr>
        <w:t xml:space="preserve">אשר ליתר העבירות בהן הורשע הנאשם, נשיאת הנשק על חומרתה היתרה מקבלת ביטוי בנסיבות מכלול המעשים, הנאשם הורשע בעבירת שיבוש מהלכי משפט ברף משמעותי. </w:t>
      </w:r>
    </w:p>
    <w:p w14:paraId="04C33D0A" w14:textId="77777777" w:rsidR="00D218EB" w:rsidRDefault="00D218EB" w:rsidP="00D218EB">
      <w:pPr>
        <w:pStyle w:val="ad"/>
        <w:spacing w:line="360" w:lineRule="auto"/>
        <w:jc w:val="both"/>
      </w:pPr>
    </w:p>
    <w:p w14:paraId="5109677F" w14:textId="77777777" w:rsidR="00D218EB" w:rsidRDefault="00D218EB" w:rsidP="00D218EB">
      <w:pPr>
        <w:pStyle w:val="ad"/>
        <w:numPr>
          <w:ilvl w:val="0"/>
          <w:numId w:val="4"/>
        </w:numPr>
        <w:spacing w:line="360" w:lineRule="auto"/>
        <w:jc w:val="both"/>
        <w:rPr>
          <w:b/>
          <w:bCs/>
        </w:rPr>
      </w:pPr>
      <w:r>
        <w:rPr>
          <w:rFonts w:ascii="David" w:hAnsi="David"/>
          <w:color w:val="000000"/>
          <w:rtl/>
        </w:rPr>
        <w:t xml:space="preserve">לאור כל האמור, בהתחשב בערכים החברתיים שנפגעו מביצוע העבירות, מידת הפגיעה בהם, מדיניות הענישה הנהוגה והנסיבות הקשורות לביצוע העבירות (לרבות מספר הקורבנות), אנו מעמידים את מתחם העונש ההולם </w:t>
      </w:r>
      <w:r>
        <w:rPr>
          <w:b/>
          <w:bCs/>
          <w:rtl/>
        </w:rPr>
        <w:t>בגין יתר העבירות בהן הורשע הנאשם בין 22-28 שנות מאסר.</w:t>
      </w:r>
    </w:p>
    <w:p w14:paraId="70D45C2F" w14:textId="77777777" w:rsidR="00D218EB" w:rsidRDefault="00D218EB" w:rsidP="00D218EB">
      <w:pPr>
        <w:pStyle w:val="ad"/>
        <w:rPr>
          <w:b/>
          <w:bCs/>
        </w:rPr>
      </w:pPr>
    </w:p>
    <w:p w14:paraId="1DE16A3E" w14:textId="77777777" w:rsidR="00D218EB" w:rsidRDefault="00D218EB" w:rsidP="00D218EB">
      <w:pPr>
        <w:pStyle w:val="ad"/>
        <w:spacing w:after="120" w:line="360" w:lineRule="auto"/>
        <w:rPr>
          <w:b/>
          <w:bCs/>
          <w:u w:val="single"/>
          <w:rtl/>
        </w:rPr>
      </w:pPr>
      <w:r>
        <w:rPr>
          <w:b/>
          <w:bCs/>
          <w:u w:val="single"/>
          <w:rtl/>
        </w:rPr>
        <w:t>עונשו של הנאשם בתוך המתחם</w:t>
      </w:r>
    </w:p>
    <w:p w14:paraId="6BB5870A" w14:textId="77777777" w:rsidR="00D218EB" w:rsidRDefault="00D218EB" w:rsidP="00D218EB">
      <w:pPr>
        <w:pStyle w:val="ad"/>
        <w:numPr>
          <w:ilvl w:val="0"/>
          <w:numId w:val="4"/>
        </w:numPr>
        <w:spacing w:line="360" w:lineRule="auto"/>
        <w:jc w:val="both"/>
        <w:rPr>
          <w:b/>
          <w:bCs/>
          <w:rtl/>
        </w:rPr>
      </w:pPr>
      <w:r>
        <w:rPr>
          <w:rtl/>
        </w:rPr>
        <w:lastRenderedPageBreak/>
        <w:t xml:space="preserve">הנאשם כבן 24, נדון בשנת 2024 בגין עבירה כלפי עובד ציבור למאסר בן חודשיים, מדובר בעבר פלילי שאינו מכביד, ובעת ביצוע העבירות בתיק הנוכחי היה ללא עבר פלילי. הנאשם ביצע את מעשיו בהיותו צעיר, בגיל 21, לא התבקש תסקיר בענייננו. כעולה ממכתבי בני משפחה וקרוביו שהוגשו במסגרת הטיעונים לעונש (נע/1) עובר למעצרו התנהל באופן תקין וללא בעיות. נתנו דעתנו לפציעתו של הנאשם, בעקבות הירי שבוצע לעברו, אשר פגעה בו קשות, ואף מקשה עליו בשגרת מעצרו, חזקה שרשויות שב"ס יספקו לו כל טיפול שלו ייזקק.  </w:t>
      </w:r>
    </w:p>
    <w:p w14:paraId="2E0A8584" w14:textId="77777777" w:rsidR="00D218EB" w:rsidRDefault="00D218EB" w:rsidP="00D218EB">
      <w:pPr>
        <w:pStyle w:val="ad"/>
        <w:rPr>
          <w:b/>
          <w:bCs/>
        </w:rPr>
      </w:pPr>
    </w:p>
    <w:p w14:paraId="64B0EE98" w14:textId="77777777" w:rsidR="00D218EB" w:rsidRDefault="00D218EB" w:rsidP="00D218EB">
      <w:pPr>
        <w:pStyle w:val="ad"/>
        <w:numPr>
          <w:ilvl w:val="0"/>
          <w:numId w:val="4"/>
        </w:numPr>
        <w:spacing w:line="360" w:lineRule="auto"/>
        <w:jc w:val="both"/>
        <w:rPr>
          <w:rtl/>
        </w:rPr>
      </w:pPr>
      <w:r>
        <w:rPr>
          <w:rtl/>
        </w:rPr>
        <w:t>הנאשם הכחיש את המיוחס לו, תחילה מסר אליבי שקרי ונעזר בקרוביו כדי להימלט מזירת האירוע, בהמשך אישר שנכח בחינה אך לא את המעשים המיוחסים לו. אכן, כפי שטען הסניגור, זכותו של נאשם לעמוד על חפותו ולנהל הוכחות בתיקו, אך התנהלות זו אינה מקנה לו את ההקלה לה ראוי מי שנטל אחריות על מעשיו ומבקש לכפר עליהם, גם באמצעות פיצוי קורבנות העבירה.</w:t>
      </w:r>
    </w:p>
    <w:p w14:paraId="72BE2EA8" w14:textId="77777777" w:rsidR="00D218EB" w:rsidRDefault="00D218EB" w:rsidP="00D218EB">
      <w:pPr>
        <w:pStyle w:val="ad"/>
      </w:pPr>
    </w:p>
    <w:p w14:paraId="0510E363" w14:textId="77777777" w:rsidR="00D218EB" w:rsidRDefault="00D218EB" w:rsidP="00D218EB">
      <w:pPr>
        <w:pStyle w:val="ad"/>
        <w:numPr>
          <w:ilvl w:val="0"/>
          <w:numId w:val="4"/>
        </w:numPr>
        <w:spacing w:line="360" w:lineRule="auto"/>
        <w:jc w:val="both"/>
        <w:rPr>
          <w:rtl/>
        </w:rPr>
      </w:pPr>
      <w:r>
        <w:rPr>
          <w:b/>
          <w:bCs/>
          <w:rtl/>
        </w:rPr>
        <w:t>עוד נתנו דעתנו לשיקולי הרתעת היחיד והרבים</w:t>
      </w:r>
      <w:r>
        <w:rPr>
          <w:rtl/>
        </w:rPr>
        <w:t xml:space="preserve">, ולצורך בהכוונת התנהגות הציבור, וזאת לנוכח שכיחותה הרבה של תופעת השימוש בנשק בלתי חוקי כאמצעי לפתרון סכסוכים, תופעה אשר שומה על בתי המשפט לפעול בנחישות כדי למגרה – בפרט לנוכח התוצאות הטראגיות והקטלניות של המקרה הנוכחי. </w:t>
      </w:r>
    </w:p>
    <w:p w14:paraId="73F00648" w14:textId="77777777" w:rsidR="00D218EB" w:rsidRDefault="00D218EB" w:rsidP="00D218EB">
      <w:pPr>
        <w:pStyle w:val="ad"/>
      </w:pPr>
    </w:p>
    <w:p w14:paraId="5A2DF6A2" w14:textId="77777777" w:rsidR="00D218EB" w:rsidRDefault="00D218EB" w:rsidP="00D218EB">
      <w:pPr>
        <w:pStyle w:val="ad"/>
        <w:spacing w:line="360" w:lineRule="auto"/>
        <w:ind w:left="1353"/>
        <w:jc w:val="both"/>
        <w:rPr>
          <w:rtl/>
        </w:rPr>
      </w:pPr>
      <w:r>
        <w:rPr>
          <w:b/>
          <w:bCs/>
          <w:rtl/>
        </w:rPr>
        <w:t xml:space="preserve">המקרה שבפנינו הוא דוגמה עצובה ולמרבה הצער גם מייצגת למצב הקשה בחברה הישראלית, בכל הנוגע לשימוש פרוע בנשק בלתי חוקי לצורך יישוב סכסוכים, ולחששו של הציבור שומר החוק, במיוחד במגזר הערבי, לשתף פעולה עם רשויות החוק במיגור הפשיעה פן </w:t>
      </w:r>
      <w:proofErr w:type="spellStart"/>
      <w:r>
        <w:rPr>
          <w:b/>
          <w:bCs/>
          <w:rtl/>
        </w:rPr>
        <w:t>יבולע</w:t>
      </w:r>
      <w:proofErr w:type="spellEnd"/>
      <w:r>
        <w:rPr>
          <w:b/>
          <w:bCs/>
          <w:rtl/>
        </w:rPr>
        <w:t xml:space="preserve"> לו</w:t>
      </w:r>
      <w:r>
        <w:rPr>
          <w:rtl/>
        </w:rPr>
        <w:t xml:space="preserve">. ככל הנראה מטעם זה הרהיב הנאשם עוז לבצע את מעשיו כשהוא גלוי פנים באירוע הומה אדם שבו השתתפו רבים ממכריו ומשכניו, הנאשם הניח שאנשים רבים שהבחינו במעשיו יסכרו את פיהם ולא ישתפו פעולה עם המשטרה. לצערנו הרב, הנאשם צדק. למעט אדם אחד הוא עד הראיה בתיק, אף לא אחד מבאי החינה ותושבי המקום שיתף פעולה עם רשויות החוק. </w:t>
      </w:r>
    </w:p>
    <w:p w14:paraId="305B9612" w14:textId="77777777" w:rsidR="00D218EB" w:rsidRDefault="00D218EB" w:rsidP="00D218EB">
      <w:pPr>
        <w:pStyle w:val="ad"/>
        <w:spacing w:line="360" w:lineRule="auto"/>
        <w:jc w:val="both"/>
      </w:pPr>
    </w:p>
    <w:p w14:paraId="4498F59F" w14:textId="77777777" w:rsidR="00D218EB" w:rsidRDefault="00D218EB" w:rsidP="00D218EB">
      <w:pPr>
        <w:pStyle w:val="ad"/>
        <w:numPr>
          <w:ilvl w:val="0"/>
          <w:numId w:val="4"/>
        </w:numPr>
        <w:spacing w:line="360" w:lineRule="auto"/>
        <w:jc w:val="both"/>
      </w:pPr>
      <w:r>
        <w:rPr>
          <w:b/>
          <w:bCs/>
          <w:rtl/>
        </w:rPr>
        <w:t>על יסוד כל אלו, מצאנו למקם את עונשו של הנאשם במרכז מתחם הענישה, ולגזור עליו עונש מאסר בן 26  שנים בגין יתר העבירות</w:t>
      </w:r>
      <w:r>
        <w:rPr>
          <w:rtl/>
        </w:rPr>
        <w:t xml:space="preserve">. </w:t>
      </w:r>
    </w:p>
    <w:p w14:paraId="3B13C0BC" w14:textId="77777777" w:rsidR="00D218EB" w:rsidRDefault="00D218EB" w:rsidP="00D218EB">
      <w:pPr>
        <w:pStyle w:val="ad"/>
        <w:rPr>
          <w:rtl/>
        </w:rPr>
      </w:pPr>
    </w:p>
    <w:p w14:paraId="7FD5BC51" w14:textId="77777777" w:rsidR="00D218EB" w:rsidRDefault="00D218EB" w:rsidP="00D218EB">
      <w:pPr>
        <w:pStyle w:val="ad"/>
        <w:numPr>
          <w:ilvl w:val="0"/>
          <w:numId w:val="4"/>
        </w:numPr>
        <w:spacing w:line="360" w:lineRule="auto"/>
        <w:jc w:val="both"/>
        <w:rPr>
          <w:rtl/>
        </w:rPr>
      </w:pPr>
      <w:r>
        <w:rPr>
          <w:b/>
          <w:bCs/>
          <w:rtl/>
        </w:rPr>
        <w:t>אשר לסוגיית צבירת העונשים</w:t>
      </w:r>
      <w:r>
        <w:rPr>
          <w:rtl/>
        </w:rPr>
        <w:t>, דומה שבמקרה שבפנינו אין מקום להתלבטות. עיקרון ההלימה וערך קדושת החיים מצדיקים מתן "</w:t>
      </w:r>
      <w:r>
        <w:rPr>
          <w:b/>
          <w:bCs/>
          <w:rtl/>
        </w:rPr>
        <w:t>מענה גמולי נפרד</w:t>
      </w:r>
      <w:r>
        <w:rPr>
          <w:rtl/>
        </w:rPr>
        <w:t xml:space="preserve">" לכל אחד מנפגעי העבירה, מבלי שייבלעו בחומרת רצח המנוח (ע"פ 1900/18 </w:t>
      </w:r>
      <w:proofErr w:type="spellStart"/>
      <w:r>
        <w:rPr>
          <w:b/>
          <w:bCs/>
          <w:rtl/>
        </w:rPr>
        <w:t>ילמה</w:t>
      </w:r>
      <w:proofErr w:type="spellEnd"/>
      <w:r>
        <w:rPr>
          <w:b/>
          <w:bCs/>
          <w:rtl/>
        </w:rPr>
        <w:t xml:space="preserve"> נ' מדינת ישראל</w:t>
      </w:r>
      <w:r>
        <w:rPr>
          <w:rtl/>
        </w:rPr>
        <w:t xml:space="preserve"> פס' 14 לפסק דינו של כב' השופט מינץ (6.10.19)). על כן מצאנו להורות  כי </w:t>
      </w:r>
      <w:r>
        <w:rPr>
          <w:rtl/>
        </w:rPr>
        <w:lastRenderedPageBreak/>
        <w:t xml:space="preserve">העונשים בגין נטילת חייו של עלא המנוח וניסיונות לרצח אחמד ומוחמד, כמו גם החבלה החמורה </w:t>
      </w:r>
      <w:proofErr w:type="spellStart"/>
      <w:r>
        <w:rPr>
          <w:rtl/>
        </w:rPr>
        <w:t>באיסלאם</w:t>
      </w:r>
      <w:proofErr w:type="spellEnd"/>
      <w:r>
        <w:rPr>
          <w:rtl/>
        </w:rPr>
        <w:t xml:space="preserve">, </w:t>
      </w:r>
      <w:r>
        <w:rPr>
          <w:b/>
          <w:bCs/>
          <w:rtl/>
        </w:rPr>
        <w:t>ירוצו במצטבר</w:t>
      </w:r>
      <w:r>
        <w:rPr>
          <w:rtl/>
        </w:rPr>
        <w:t>, זאת אף אם שמכלול המעשים מהווה אירוע אחד. "</w:t>
      </w:r>
      <w:r>
        <w:rPr>
          <w:b/>
          <w:bCs/>
          <w:rtl/>
        </w:rPr>
        <w:t xml:space="preserve">מנקודת מבט מוסרית ומשפטית, יש לתת ביטוי לערך קדושת החיים... על העונש להיקבע מתוך הבנה בסיסית כי כל אדם הוא עולם ומלואו, ופגיעה בו היא, כשלעצמה, מעשה חמור מאין כמותו. יתרה מכך: פגיעה באדם אחד פוגעת לא רק בעולמו שלו, אלא גם בעולמות של אלו הקרובים לו - משפחה וחברים, שנאלצים להתמודד עם קשיים שאין דבר שיכול לרככם. לכך יש לתת את המשקל הראוי" </w:t>
      </w:r>
      <w:r>
        <w:rPr>
          <w:rtl/>
        </w:rPr>
        <w:t xml:space="preserve">(ע"פ 3545/18 </w:t>
      </w:r>
      <w:proofErr w:type="spellStart"/>
      <w:r>
        <w:rPr>
          <w:b/>
          <w:bCs/>
          <w:rtl/>
        </w:rPr>
        <w:t>קיקס</w:t>
      </w:r>
      <w:proofErr w:type="spellEnd"/>
      <w:r>
        <w:rPr>
          <w:b/>
          <w:bCs/>
          <w:rtl/>
        </w:rPr>
        <w:t xml:space="preserve"> נ' מדינת ישראל</w:t>
      </w:r>
      <w:r>
        <w:rPr>
          <w:rtl/>
        </w:rPr>
        <w:t xml:space="preserve"> פס' 5 לפסק דינו של כב' השופט הנדל (24.2.19)).</w:t>
      </w:r>
    </w:p>
    <w:p w14:paraId="45A66F54" w14:textId="77777777" w:rsidR="00D218EB" w:rsidRDefault="00D218EB" w:rsidP="00D218EB">
      <w:pPr>
        <w:pStyle w:val="ad"/>
      </w:pPr>
    </w:p>
    <w:p w14:paraId="1D09C5C1" w14:textId="77777777" w:rsidR="00D218EB" w:rsidRDefault="00D218EB" w:rsidP="00D218EB">
      <w:pPr>
        <w:pStyle w:val="ad"/>
        <w:numPr>
          <w:ilvl w:val="0"/>
          <w:numId w:val="4"/>
        </w:numPr>
        <w:spacing w:line="360" w:lineRule="auto"/>
        <w:jc w:val="both"/>
        <w:rPr>
          <w:rtl/>
        </w:rPr>
      </w:pPr>
      <w:r>
        <w:rPr>
          <w:rtl/>
        </w:rPr>
        <w:t xml:space="preserve"> עוד ייאמר בענייננו, כי אין מדובר בעבירות נוספות שהן בבחינת פגיעה משנית או מקרית באופן שמאפשר לבלוע אותן בעונש בגין רצח המנוח (וזאת </w:t>
      </w:r>
      <w:r>
        <w:rPr>
          <w:u w:val="single"/>
          <w:rtl/>
        </w:rPr>
        <w:t>בניגוד</w:t>
      </w:r>
      <w:r>
        <w:rPr>
          <w:rtl/>
        </w:rPr>
        <w:t xml:space="preserve"> לאמור בדעת הרוב בע"פ 6386/12 </w:t>
      </w:r>
      <w:proofErr w:type="spellStart"/>
      <w:r>
        <w:rPr>
          <w:b/>
          <w:bCs/>
          <w:rtl/>
        </w:rPr>
        <w:t>עמנואלוב</w:t>
      </w:r>
      <w:proofErr w:type="spellEnd"/>
      <w:r>
        <w:rPr>
          <w:b/>
          <w:bCs/>
          <w:rtl/>
        </w:rPr>
        <w:t xml:space="preserve"> נ' מדינת ישראל</w:t>
      </w:r>
      <w:r>
        <w:rPr>
          <w:rtl/>
        </w:rPr>
        <w:t xml:space="preserve">, פס' 48 לפסק דינו של כב' השופט סולברג (6.12.15), אליו הפנתה ההגנה. יצוין כי סעיף 45(א) לחוק שעליו התבססה דעת הרב בוטל מאז). לנאשם הייתה תכנית סדורה לרצוח גם את שני נפגעי העבירה הנוספים, מלכתחילה הצטייד בשני אקדחים ובמחסניות מלאות בכדורים. גם לאחר שהצליח לירות בשניים, המשיך לרדוף אחרי מוחמד ועלא כדי לגרום למותם. לאחר שפגע במוחמד, המשיך לרדוף אחרי עלא ולא חדל עד שהשיגו והמיתו. הפגיעות עצמן, בעיקר במוחמד ובאחמד, חמורות ביותר. </w:t>
      </w:r>
    </w:p>
    <w:p w14:paraId="1AF44798" w14:textId="77777777" w:rsidR="00D218EB" w:rsidRDefault="00D218EB" w:rsidP="00D218EB">
      <w:pPr>
        <w:pStyle w:val="ad"/>
      </w:pPr>
    </w:p>
    <w:p w14:paraId="286B5AD3" w14:textId="77777777" w:rsidR="00D218EB" w:rsidRDefault="00D218EB" w:rsidP="00D218EB">
      <w:pPr>
        <w:pStyle w:val="ad"/>
        <w:numPr>
          <w:ilvl w:val="0"/>
          <w:numId w:val="4"/>
        </w:numPr>
        <w:spacing w:line="360" w:lineRule="auto"/>
        <w:jc w:val="both"/>
        <w:rPr>
          <w:rtl/>
        </w:rPr>
      </w:pPr>
      <w:r>
        <w:rPr>
          <w:rtl/>
        </w:rPr>
        <w:t>על דרך הכלל, מורים בתי המשפט על צבירת עונשים במקרים שבהם נלוות לעבירות הרצח עבירות אלימות כלפי קורבנות נוספים, אף מקום שחומרתם מתונה יותר.</w:t>
      </w:r>
    </w:p>
    <w:p w14:paraId="39882ADE" w14:textId="77777777" w:rsidR="00D218EB" w:rsidRDefault="00D218EB" w:rsidP="00D218EB">
      <w:pPr>
        <w:pStyle w:val="ad"/>
        <w:spacing w:line="360" w:lineRule="auto"/>
        <w:jc w:val="both"/>
      </w:pPr>
    </w:p>
    <w:p w14:paraId="37E154CD" w14:textId="77777777" w:rsidR="00D218EB" w:rsidRDefault="00D218EB" w:rsidP="00D218EB">
      <w:pPr>
        <w:pStyle w:val="ad"/>
        <w:spacing w:line="360" w:lineRule="auto"/>
        <w:ind w:left="1353"/>
        <w:jc w:val="both"/>
        <w:rPr>
          <w:rtl/>
        </w:rPr>
      </w:pPr>
      <w:r>
        <w:rPr>
          <w:rtl/>
        </w:rPr>
        <w:t xml:space="preserve">כך בע"פ 9201/18 </w:t>
      </w:r>
      <w:proofErr w:type="spellStart"/>
      <w:r>
        <w:rPr>
          <w:b/>
          <w:bCs/>
          <w:rtl/>
        </w:rPr>
        <w:t>גורבאן</w:t>
      </w:r>
      <w:proofErr w:type="spellEnd"/>
      <w:r>
        <w:rPr>
          <w:b/>
          <w:bCs/>
          <w:rtl/>
        </w:rPr>
        <w:t xml:space="preserve"> נ' מדינת ישראל</w:t>
      </w:r>
      <w:r>
        <w:rPr>
          <w:rtl/>
        </w:rPr>
        <w:t xml:space="preserve"> (8.6.22) נדחה ערעור הנאשם שהורשע בעבירה של רצח ופציעה בנסיבות מחמירות לצד עבירות נשק ושיבוש מהלכי המשפט. הנאשם רצח לאחר תכנון את המנוח שישב עם חבר בבית קפה בשעת ערב, עוברת אורח שנקלעה למקום נפצעה פצע שטחי מירי תועה. על המערער נגזר מאסר עולם ו-30 חודשי מאסר במצטבר לעונשו, וכן 20 חודשי מאסר בגין עבירת הנשק ו-18 חודשי מאסר בגין עבירת השיבוש לריצוי בחופף למאסרו. בית המשפט העליון דחה את ערעורו, נקבע כי חומרת העבירה של חבלה בכוונה מחמירה מצדיקה עונש מאסר במצטבר; </w:t>
      </w:r>
    </w:p>
    <w:p w14:paraId="5A7F0141" w14:textId="77777777" w:rsidR="00D218EB" w:rsidRDefault="00D218EB" w:rsidP="00D218EB">
      <w:pPr>
        <w:pStyle w:val="ad"/>
        <w:spacing w:line="360" w:lineRule="auto"/>
        <w:jc w:val="both"/>
        <w:rPr>
          <w:rtl/>
        </w:rPr>
      </w:pPr>
    </w:p>
    <w:p w14:paraId="55601113" w14:textId="77777777" w:rsidR="00D218EB" w:rsidRDefault="00D218EB" w:rsidP="00D218EB">
      <w:pPr>
        <w:pStyle w:val="ad"/>
        <w:spacing w:line="360" w:lineRule="auto"/>
        <w:ind w:left="1353"/>
        <w:jc w:val="both"/>
        <w:rPr>
          <w:rtl/>
        </w:rPr>
      </w:pPr>
      <w:r>
        <w:rPr>
          <w:rtl/>
        </w:rPr>
        <w:t xml:space="preserve">בע"פ 7567/22 </w:t>
      </w:r>
      <w:r>
        <w:rPr>
          <w:b/>
          <w:bCs/>
          <w:rtl/>
        </w:rPr>
        <w:t>זגורי  נ' מדינת ישראל</w:t>
      </w:r>
      <w:r>
        <w:rPr>
          <w:rtl/>
        </w:rPr>
        <w:t xml:space="preserve"> (5.1.25) הורשע הנאשם בעבירות של רצח, ניסיון רצח וחבלה בכוונה מחמירה. הנאשם הגיע למסיבת יום הולדת של המנוח, ועל רקע ויכוח עם חברו של המנוח, ירה מספר יריות לעבר החבר בכוונה להמיתו, רצח </w:t>
      </w:r>
      <w:r>
        <w:rPr>
          <w:rtl/>
        </w:rPr>
        <w:lastRenderedPageBreak/>
        <w:t xml:space="preserve">את המנוח בכך שירה כדור בראשו, וזאת בנוכחות </w:t>
      </w:r>
      <w:proofErr w:type="spellStart"/>
      <w:r>
        <w:rPr>
          <w:rtl/>
        </w:rPr>
        <w:t>אמו</w:t>
      </w:r>
      <w:proofErr w:type="spellEnd"/>
      <w:r>
        <w:rPr>
          <w:rtl/>
        </w:rPr>
        <w:t xml:space="preserve"> של המנוח שהגיע לסייע לו ולאחר שירה כדור לירכה של האם ופצע אותה. על הנאשם נגזר מאסר עולם, בגין יתר העבירות נגזרו על המערער 22 שנות מאסר, 19 שנים במצטבר לעונש המאסר והיתר בחופף לו. הערעור על הכרעת הדין ועל גזר הדין נדחה, חרף טענה של אחידות בענישה (ראו עוד ע"פ 6655/23 </w:t>
      </w:r>
      <w:r>
        <w:rPr>
          <w:b/>
          <w:bCs/>
          <w:rtl/>
        </w:rPr>
        <w:t>עודה נ' מדינת</w:t>
      </w:r>
      <w:r>
        <w:rPr>
          <w:rtl/>
        </w:rPr>
        <w:t xml:space="preserve"> י</w:t>
      </w:r>
      <w:r>
        <w:rPr>
          <w:b/>
          <w:bCs/>
          <w:rtl/>
        </w:rPr>
        <w:t>שראל</w:t>
      </w:r>
      <w:r>
        <w:rPr>
          <w:rtl/>
        </w:rPr>
        <w:t xml:space="preserve">, פס' 34 לפסק דינו של כב' השופט אלרון, 6.10.24). </w:t>
      </w:r>
    </w:p>
    <w:p w14:paraId="617BE669" w14:textId="77777777" w:rsidR="00D218EB" w:rsidRDefault="00D218EB" w:rsidP="00D218EB">
      <w:pPr>
        <w:pStyle w:val="ad"/>
        <w:spacing w:line="360" w:lineRule="auto"/>
        <w:jc w:val="both"/>
      </w:pPr>
    </w:p>
    <w:p w14:paraId="6943222F" w14:textId="77777777" w:rsidR="00D218EB" w:rsidRDefault="00D218EB" w:rsidP="00D218EB">
      <w:pPr>
        <w:pStyle w:val="ad"/>
        <w:numPr>
          <w:ilvl w:val="0"/>
          <w:numId w:val="4"/>
        </w:numPr>
        <w:spacing w:line="360" w:lineRule="auto"/>
        <w:jc w:val="both"/>
      </w:pPr>
      <w:r>
        <w:rPr>
          <w:rtl/>
        </w:rPr>
        <w:t xml:space="preserve">נתנו דעתנו גם לבקשת ההגנה לחפיפה מסוימת של העונשים כדי להותיר לנאשם פתח של תקווה לחופש וחיים חדשים. </w:t>
      </w:r>
    </w:p>
    <w:p w14:paraId="4F834F52" w14:textId="77777777" w:rsidR="00D218EB" w:rsidRDefault="00D218EB" w:rsidP="00D218EB">
      <w:pPr>
        <w:pStyle w:val="ad"/>
      </w:pPr>
    </w:p>
    <w:p w14:paraId="7B86EC5B" w14:textId="77777777" w:rsidR="00D218EB" w:rsidRDefault="00D218EB" w:rsidP="00D218EB">
      <w:pPr>
        <w:pStyle w:val="ad"/>
        <w:spacing w:after="120" w:line="360" w:lineRule="auto"/>
        <w:ind w:firstLine="273"/>
        <w:rPr>
          <w:b/>
          <w:bCs/>
          <w:u w:val="single"/>
          <w:rtl/>
        </w:rPr>
      </w:pPr>
      <w:r>
        <w:rPr>
          <w:b/>
          <w:bCs/>
          <w:u w:val="single"/>
          <w:rtl/>
        </w:rPr>
        <w:t>פיצוי</w:t>
      </w:r>
    </w:p>
    <w:p w14:paraId="02264AA9" w14:textId="77777777" w:rsidR="00D218EB" w:rsidRDefault="00D218EB" w:rsidP="00D218EB">
      <w:pPr>
        <w:pStyle w:val="ad"/>
        <w:numPr>
          <w:ilvl w:val="0"/>
          <w:numId w:val="4"/>
        </w:numPr>
        <w:spacing w:line="360" w:lineRule="auto"/>
        <w:jc w:val="both"/>
        <w:rPr>
          <w:rtl/>
        </w:rPr>
      </w:pPr>
      <w:r>
        <w:rPr>
          <w:rtl/>
        </w:rPr>
        <w:t xml:space="preserve">בכל הנוגע לפיצוי, לאור תמונת הנזק הקשה שנגרמה למשפחתו של עלא המנוח, וממנה עולה כי הנזק שנגרם למשפחה עולה באופן משמעותי על סכום הפיצוי המרבי הקבוע בחוק, הרי מובן הדבר שיש לפסוק את הפיצוי המרבי הקבוע בחוק, בסך של 258,000 ₪. אשר לשלושת נפגעי העבירה הנוספים: נוכח הפציעה הקשה שנגרמה למוחמד שנורה ע"י הנאשם מצאנו לפסוק לטובתו סך של 180,000 ₪; לטובת אחמד מצאנו לפסוק פיצוי בסך 120,000 ₪, </w:t>
      </w:r>
      <w:proofErr w:type="spellStart"/>
      <w:r>
        <w:rPr>
          <w:rtl/>
        </w:rPr>
        <w:t>ולאיסלאם</w:t>
      </w:r>
      <w:proofErr w:type="spellEnd"/>
      <w:r>
        <w:rPr>
          <w:rtl/>
        </w:rPr>
        <w:t xml:space="preserve"> פיצוי בסך 50,000 ₪. בהתאם לפסיקה, לעניין פיצוי עונשי אין מקום להתחשבות במצבו הכלכלי של הנאשם ומשפחתו. </w:t>
      </w:r>
    </w:p>
    <w:p w14:paraId="120AE294" w14:textId="77777777" w:rsidR="00D218EB" w:rsidRDefault="00D218EB" w:rsidP="00D218EB">
      <w:pPr>
        <w:pStyle w:val="ad"/>
        <w:spacing w:line="360" w:lineRule="auto"/>
        <w:jc w:val="both"/>
        <w:rPr>
          <w:rtl/>
        </w:rPr>
      </w:pPr>
    </w:p>
    <w:p w14:paraId="46A30F8D" w14:textId="0540042E" w:rsidR="00D218EB" w:rsidRPr="00D218EB" w:rsidRDefault="00D218EB" w:rsidP="00D218EB">
      <w:pPr>
        <w:pStyle w:val="ad"/>
        <w:numPr>
          <w:ilvl w:val="0"/>
          <w:numId w:val="4"/>
        </w:numPr>
        <w:spacing w:line="330" w:lineRule="atLeast"/>
        <w:jc w:val="both"/>
        <w:rPr>
          <w:rFonts w:ascii="Calibri" w:hAnsi="Calibri" w:cs="Calibri"/>
          <w:color w:val="000000"/>
          <w:sz w:val="22"/>
          <w:szCs w:val="22"/>
          <w:rtl/>
        </w:rPr>
      </w:pPr>
      <w:r w:rsidRPr="00D218EB">
        <w:rPr>
          <w:rFonts w:ascii="David" w:hAnsi="David"/>
          <w:b/>
          <w:bCs/>
          <w:color w:val="000000"/>
          <w:u w:val="single"/>
          <w:rtl/>
        </w:rPr>
        <w:t>לאור כל האמור לעיל, אנו דנים את הנאשם לעונשים הבאים:</w:t>
      </w:r>
    </w:p>
    <w:p w14:paraId="45C14327" w14:textId="77777777" w:rsidR="00D218EB" w:rsidRPr="00D218EB" w:rsidRDefault="00D218EB" w:rsidP="00D218EB">
      <w:pPr>
        <w:pStyle w:val="ad"/>
        <w:rPr>
          <w:rFonts w:ascii="Calibri" w:hAnsi="Calibri" w:cs="Calibri"/>
          <w:color w:val="000000"/>
          <w:sz w:val="22"/>
          <w:szCs w:val="22"/>
          <w:rtl/>
        </w:rPr>
      </w:pPr>
    </w:p>
    <w:p w14:paraId="78985F26" w14:textId="5FAEE89B" w:rsidR="00D218EB" w:rsidRDefault="00D218EB" w:rsidP="00D218EB">
      <w:pPr>
        <w:spacing w:line="360" w:lineRule="auto"/>
        <w:ind w:left="1559" w:hanging="357"/>
        <w:jc w:val="both"/>
        <w:rPr>
          <w:rFonts w:ascii="Calibri" w:hAnsi="Calibri" w:cs="Calibri"/>
          <w:color w:val="000000"/>
          <w:sz w:val="22"/>
          <w:szCs w:val="22"/>
        </w:rPr>
      </w:pPr>
      <w:r>
        <w:rPr>
          <w:rFonts w:ascii="David" w:hAnsi="David"/>
          <w:color w:val="000000"/>
          <w:rtl/>
        </w:rPr>
        <w:t>א.</w:t>
      </w:r>
      <w:r w:rsidR="00963F9F">
        <w:rPr>
          <w:rFonts w:cs="Times New Roman" w:hint="cs"/>
          <w:color w:val="000000"/>
          <w:sz w:val="14"/>
          <w:szCs w:val="14"/>
          <w:rtl/>
        </w:rPr>
        <w:t>     </w:t>
      </w:r>
      <w:r>
        <w:rPr>
          <w:rFonts w:ascii="David" w:hAnsi="David"/>
          <w:color w:val="000000"/>
          <w:rtl/>
        </w:rPr>
        <w:t>בעבירת הרצח לפי 300א (1) ו-(9) - </w:t>
      </w:r>
      <w:r>
        <w:rPr>
          <w:rFonts w:ascii="David" w:hAnsi="David"/>
          <w:b/>
          <w:bCs/>
          <w:color w:val="000000"/>
          <w:rtl/>
        </w:rPr>
        <w:t>עונש מאסר עולם</w:t>
      </w:r>
      <w:r>
        <w:rPr>
          <w:rFonts w:ascii="David" w:hAnsi="David"/>
          <w:color w:val="000000"/>
          <w:rtl/>
        </w:rPr>
        <w:t>.</w:t>
      </w:r>
    </w:p>
    <w:p w14:paraId="08872739" w14:textId="660D2BD0" w:rsidR="00D218EB" w:rsidRDefault="00D218EB" w:rsidP="00D218EB">
      <w:pPr>
        <w:spacing w:line="360" w:lineRule="auto"/>
        <w:ind w:left="1559" w:hanging="357"/>
        <w:jc w:val="both"/>
        <w:rPr>
          <w:rFonts w:ascii="Calibri" w:hAnsi="Calibri" w:cs="Calibri"/>
          <w:color w:val="000000"/>
          <w:sz w:val="22"/>
          <w:szCs w:val="22"/>
          <w:rtl/>
        </w:rPr>
      </w:pPr>
      <w:r>
        <w:rPr>
          <w:rFonts w:ascii="David" w:hAnsi="David"/>
          <w:color w:val="000000"/>
          <w:rtl/>
        </w:rPr>
        <w:t>ב.</w:t>
      </w:r>
      <w:r>
        <w:rPr>
          <w:rFonts w:cs="Times New Roman" w:hint="cs"/>
          <w:color w:val="000000"/>
          <w:sz w:val="14"/>
          <w:szCs w:val="14"/>
          <w:rtl/>
        </w:rPr>
        <w:t>      </w:t>
      </w:r>
      <w:r>
        <w:rPr>
          <w:rFonts w:ascii="David" w:hAnsi="David"/>
          <w:color w:val="000000"/>
          <w:rtl/>
        </w:rPr>
        <w:t>בעבירות ה</w:t>
      </w:r>
      <w:r w:rsidR="00E205F4">
        <w:rPr>
          <w:rFonts w:ascii="David" w:hAnsi="David"/>
          <w:color w:val="000000"/>
          <w:rtl/>
        </w:rPr>
        <w:t>אחרות בהן הורשע  - 26 שנות מאסר</w:t>
      </w:r>
      <w:r w:rsidR="00E205F4">
        <w:rPr>
          <w:rFonts w:ascii="David" w:hAnsi="David" w:hint="cs"/>
          <w:color w:val="000000"/>
          <w:rtl/>
        </w:rPr>
        <w:t>, מתוכן</w:t>
      </w:r>
      <w:r>
        <w:rPr>
          <w:rFonts w:ascii="David" w:hAnsi="David"/>
          <w:color w:val="000000"/>
          <w:rtl/>
        </w:rPr>
        <w:t xml:space="preserve"> 22 שנים במצטבר לעונש מאסר העולם והיתרה בחופף לו.</w:t>
      </w:r>
    </w:p>
    <w:p w14:paraId="43F87745" w14:textId="7E8A5AC9" w:rsidR="00D218EB" w:rsidRDefault="006E496E" w:rsidP="00D218EB">
      <w:pPr>
        <w:spacing w:line="360" w:lineRule="auto"/>
        <w:ind w:left="1559" w:hanging="357"/>
        <w:jc w:val="both"/>
        <w:rPr>
          <w:rFonts w:ascii="David" w:hAnsi="David"/>
          <w:color w:val="000000"/>
          <w:u w:val="single"/>
          <w:rtl/>
        </w:rPr>
      </w:pPr>
      <w:r>
        <w:rPr>
          <w:rFonts w:ascii="David" w:hAnsi="David" w:hint="cs"/>
          <w:color w:val="000000"/>
          <w:rtl/>
        </w:rPr>
        <w:t xml:space="preserve">       </w:t>
      </w:r>
      <w:r w:rsidR="00D218EB">
        <w:rPr>
          <w:rFonts w:ascii="David" w:hAnsi="David" w:hint="cs"/>
          <w:b/>
          <w:bCs/>
          <w:color w:val="000000"/>
          <w:u w:val="single"/>
          <w:rtl/>
        </w:rPr>
        <w:t>ס</w:t>
      </w:r>
      <w:r w:rsidR="00D218EB">
        <w:rPr>
          <w:rFonts w:ascii="David" w:hAnsi="David"/>
          <w:b/>
          <w:bCs/>
          <w:color w:val="000000"/>
          <w:u w:val="single"/>
          <w:rtl/>
        </w:rPr>
        <w:t>ך כל ירצה הנאשם עונש של מאסר עולם ו-22 שנים במצטבר</w:t>
      </w:r>
      <w:r w:rsidR="00D218EB">
        <w:rPr>
          <w:rFonts w:ascii="David" w:hAnsi="David"/>
          <w:color w:val="000000"/>
          <w:u w:val="single"/>
          <w:rtl/>
        </w:rPr>
        <w:t xml:space="preserve">, בניכוי ימי מעצרו, מיום 21.9.21. </w:t>
      </w:r>
    </w:p>
    <w:p w14:paraId="2E04696F" w14:textId="028F4A5C" w:rsidR="00D218EB" w:rsidRDefault="006E496E" w:rsidP="00D218EB">
      <w:pPr>
        <w:spacing w:line="360" w:lineRule="auto"/>
        <w:ind w:left="1559" w:hanging="357"/>
        <w:jc w:val="both"/>
        <w:rPr>
          <w:rFonts w:ascii="David" w:hAnsi="David"/>
          <w:color w:val="000000"/>
          <w:rtl/>
        </w:rPr>
      </w:pPr>
      <w:r>
        <w:rPr>
          <w:rFonts w:ascii="David" w:hAnsi="David" w:hint="cs"/>
          <w:color w:val="000000"/>
          <w:rtl/>
        </w:rPr>
        <w:t>ג</w:t>
      </w:r>
      <w:r w:rsidR="00D218EB">
        <w:rPr>
          <w:rFonts w:ascii="David" w:hAnsi="David"/>
          <w:color w:val="000000"/>
          <w:rtl/>
        </w:rPr>
        <w:t>.</w:t>
      </w:r>
      <w:r w:rsidR="00D218EB">
        <w:rPr>
          <w:rFonts w:cs="Times New Roman" w:hint="cs"/>
          <w:color w:val="000000"/>
          <w:sz w:val="14"/>
          <w:szCs w:val="14"/>
          <w:rtl/>
        </w:rPr>
        <w:t>      </w:t>
      </w:r>
      <w:r w:rsidR="00D218EB">
        <w:rPr>
          <w:rFonts w:ascii="David" w:hAnsi="David"/>
          <w:color w:val="000000"/>
          <w:rtl/>
        </w:rPr>
        <w:t>מאסר על תנאי של 18 חודש למשך 3 שנים </w:t>
      </w:r>
      <w:r w:rsidR="00D218EB">
        <w:rPr>
          <w:rFonts w:ascii="David" w:hAnsi="David"/>
          <w:color w:val="000000"/>
          <w:u w:val="single"/>
          <w:rtl/>
        </w:rPr>
        <w:t>מהיום</w:t>
      </w:r>
      <w:r w:rsidR="00D218EB">
        <w:rPr>
          <w:rFonts w:ascii="David" w:hAnsi="David"/>
          <w:color w:val="000000"/>
          <w:rtl/>
        </w:rPr>
        <w:t> שלא יעבור עבירת אלימות</w:t>
      </w:r>
      <w:r w:rsidR="00D218EB">
        <w:rPr>
          <w:rFonts w:ascii="Calibri" w:hAnsi="Calibri" w:cs="Calibri"/>
          <w:color w:val="000000"/>
          <w:sz w:val="22"/>
          <w:szCs w:val="22"/>
          <w:rtl/>
        </w:rPr>
        <w:t xml:space="preserve"> </w:t>
      </w:r>
      <w:r w:rsidR="00D218EB">
        <w:rPr>
          <w:rFonts w:ascii="David" w:hAnsi="David"/>
          <w:color w:val="000000"/>
          <w:rtl/>
        </w:rPr>
        <w:t>מסוג פשע או עבירת נשק.</w:t>
      </w:r>
    </w:p>
    <w:p w14:paraId="7A4D9938" w14:textId="1307AC4E" w:rsidR="00D218EB" w:rsidRDefault="006E496E" w:rsidP="00D218EB">
      <w:pPr>
        <w:spacing w:after="160" w:line="330" w:lineRule="atLeast"/>
        <w:ind w:left="1080" w:hanging="360"/>
        <w:jc w:val="both"/>
        <w:rPr>
          <w:rFonts w:ascii="Calibri" w:hAnsi="Calibri" w:cs="Calibri"/>
          <w:color w:val="000000"/>
          <w:sz w:val="22"/>
          <w:szCs w:val="22"/>
          <w:rtl/>
        </w:rPr>
      </w:pPr>
      <w:r>
        <w:rPr>
          <w:rFonts w:ascii="David" w:hAnsi="David" w:hint="cs"/>
          <w:color w:val="000000"/>
          <w:rtl/>
        </w:rPr>
        <w:t>ד</w:t>
      </w:r>
      <w:r w:rsidR="00D218EB">
        <w:rPr>
          <w:rFonts w:ascii="David" w:hAnsi="David"/>
          <w:color w:val="000000"/>
          <w:rtl/>
        </w:rPr>
        <w:t>.</w:t>
      </w:r>
      <w:r w:rsidR="00D218EB">
        <w:rPr>
          <w:rFonts w:cs="Times New Roman" w:hint="cs"/>
          <w:color w:val="000000"/>
          <w:sz w:val="14"/>
          <w:szCs w:val="14"/>
          <w:rtl/>
        </w:rPr>
        <w:t>     </w:t>
      </w:r>
      <w:r w:rsidR="00D218EB">
        <w:rPr>
          <w:rFonts w:ascii="David" w:hAnsi="David"/>
          <w:color w:val="000000"/>
          <w:rtl/>
        </w:rPr>
        <w:t>פיצ</w:t>
      </w:r>
      <w:r w:rsidR="00963F9F">
        <w:rPr>
          <w:rFonts w:ascii="David" w:hAnsi="David"/>
          <w:color w:val="000000"/>
          <w:rtl/>
        </w:rPr>
        <w:t>ויים ליורשי המנוח בסך 258,000 ₪</w:t>
      </w:r>
      <w:r w:rsidR="00963F9F">
        <w:rPr>
          <w:rFonts w:ascii="David" w:hAnsi="David" w:hint="cs"/>
          <w:color w:val="000000"/>
          <w:rtl/>
        </w:rPr>
        <w:t>;</w:t>
      </w:r>
      <w:r w:rsidR="00D218EB">
        <w:rPr>
          <w:rFonts w:ascii="David" w:hAnsi="David"/>
          <w:color w:val="000000"/>
          <w:rtl/>
        </w:rPr>
        <w:t xml:space="preserve"> </w:t>
      </w:r>
      <w:r w:rsidR="00963F9F">
        <w:rPr>
          <w:rFonts w:ascii="David" w:hAnsi="David"/>
          <w:color w:val="000000"/>
          <w:rtl/>
        </w:rPr>
        <w:t>פיצוי למוחמד באיר בסך 180,000 ₪</w:t>
      </w:r>
      <w:r w:rsidR="00D218EB">
        <w:rPr>
          <w:rFonts w:ascii="David" w:hAnsi="David"/>
          <w:color w:val="000000"/>
          <w:rtl/>
        </w:rPr>
        <w:t xml:space="preserve">; פיצוי לאחמד </w:t>
      </w:r>
      <w:proofErr w:type="spellStart"/>
      <w:r w:rsidR="00D218EB">
        <w:rPr>
          <w:rFonts w:ascii="David" w:hAnsi="David"/>
          <w:color w:val="000000"/>
          <w:rtl/>
        </w:rPr>
        <w:t>מסארווה</w:t>
      </w:r>
      <w:proofErr w:type="spellEnd"/>
      <w:r w:rsidR="00D218EB">
        <w:rPr>
          <w:rFonts w:ascii="David" w:hAnsi="David"/>
          <w:color w:val="000000"/>
          <w:rtl/>
        </w:rPr>
        <w:t xml:space="preserve"> בסך 120,000 ₪; פיצוי </w:t>
      </w:r>
      <w:proofErr w:type="spellStart"/>
      <w:r w:rsidR="00D218EB">
        <w:rPr>
          <w:rFonts w:ascii="David" w:hAnsi="David"/>
          <w:color w:val="000000"/>
          <w:rtl/>
        </w:rPr>
        <w:t>לאיסלאם</w:t>
      </w:r>
      <w:proofErr w:type="spellEnd"/>
      <w:r w:rsidR="00D218EB">
        <w:rPr>
          <w:rFonts w:ascii="David" w:hAnsi="David"/>
          <w:color w:val="000000"/>
          <w:rtl/>
        </w:rPr>
        <w:t xml:space="preserve"> </w:t>
      </w:r>
      <w:proofErr w:type="spellStart"/>
      <w:r w:rsidR="00D218EB">
        <w:rPr>
          <w:rFonts w:ascii="David" w:hAnsi="David"/>
          <w:color w:val="000000"/>
          <w:rtl/>
        </w:rPr>
        <w:t>נאשף</w:t>
      </w:r>
      <w:proofErr w:type="spellEnd"/>
      <w:r w:rsidR="00D218EB">
        <w:rPr>
          <w:rFonts w:ascii="David" w:hAnsi="David"/>
          <w:color w:val="000000"/>
          <w:rtl/>
        </w:rPr>
        <w:t xml:space="preserve"> בסך 50,000 ₪. לתשלום ב-15 תשלומים שווים ורצופים החל מיום 15.6.25. </w:t>
      </w:r>
    </w:p>
    <w:p w14:paraId="0DFBE7A4" w14:textId="77777777" w:rsidR="00D218EB" w:rsidRDefault="00D218EB" w:rsidP="00D218EB">
      <w:pPr>
        <w:spacing w:after="160" w:line="330" w:lineRule="atLeast"/>
        <w:ind w:left="1080" w:hanging="360"/>
        <w:jc w:val="both"/>
        <w:rPr>
          <w:rFonts w:ascii="Calibri" w:hAnsi="Calibri" w:cs="Calibri"/>
          <w:color w:val="000000"/>
          <w:sz w:val="22"/>
          <w:szCs w:val="22"/>
          <w:rtl/>
        </w:rPr>
      </w:pPr>
    </w:p>
    <w:p w14:paraId="13F24071" w14:textId="736BDF0F" w:rsidR="00D218EB" w:rsidRDefault="00D218EB" w:rsidP="00D218EB">
      <w:pPr>
        <w:rPr>
          <w:rtl/>
        </w:rPr>
      </w:pPr>
      <w:r>
        <w:rPr>
          <w:b/>
          <w:bCs/>
          <w:rtl/>
        </w:rPr>
        <w:t>זכות ערעור לבית המשפט העליון בתוך 45 יום</w:t>
      </w:r>
      <w:r w:rsidR="00C545AB">
        <w:rPr>
          <w:rFonts w:hint="cs"/>
          <w:rtl/>
        </w:rPr>
        <w:t>.</w:t>
      </w:r>
    </w:p>
    <w:p w14:paraId="323FBD63" w14:textId="77777777" w:rsidR="00507694" w:rsidRPr="000F2247" w:rsidRDefault="00507694">
      <w:pPr>
        <w:rPr>
          <w:rFonts w:ascii="Arial" w:hAnsi="Arial"/>
          <w:b/>
          <w:bCs/>
          <w:sz w:val="26"/>
          <w:szCs w:val="26"/>
          <w:rtl/>
        </w:rPr>
      </w:pPr>
    </w:p>
    <w:p w14:paraId="52515761" w14:textId="77777777" w:rsidR="00507694" w:rsidRPr="000F2247" w:rsidRDefault="00507694">
      <w:pPr>
        <w:rPr>
          <w:rFonts w:ascii="Arial" w:hAnsi="Arial"/>
          <w:b/>
          <w:bCs/>
          <w:sz w:val="26"/>
          <w:szCs w:val="26"/>
          <w:rtl/>
        </w:rPr>
      </w:pPr>
    </w:p>
    <w:p w14:paraId="15920AF8" w14:textId="77777777" w:rsidR="00507694" w:rsidRPr="000F2247" w:rsidRDefault="00507694">
      <w:pPr>
        <w:rPr>
          <w:rFonts w:ascii="Arial" w:hAnsi="Arial"/>
          <w:b/>
          <w:bCs/>
          <w:sz w:val="26"/>
          <w:szCs w:val="26"/>
          <w:rtl/>
        </w:rPr>
      </w:pPr>
    </w:p>
    <w:p w14:paraId="1EBB80B2" w14:textId="205706B3" w:rsidR="00ED4465" w:rsidRDefault="00684E84" w:rsidP="00ED4465">
      <w:pPr>
        <w:spacing w:line="360" w:lineRule="auto"/>
        <w:jc w:val="both"/>
        <w:rPr>
          <w:rFonts w:ascii="Arial" w:hAnsi="Arial"/>
          <w:b/>
          <w:bCs/>
          <w:sz w:val="26"/>
          <w:szCs w:val="26"/>
          <w:rtl/>
        </w:rPr>
      </w:pPr>
      <w:r w:rsidRPr="000F2247">
        <w:rPr>
          <w:rFonts w:ascii="Arial" w:hAnsi="Arial"/>
          <w:b/>
          <w:bCs/>
          <w:sz w:val="26"/>
          <w:szCs w:val="26"/>
          <w:rtl/>
        </w:rPr>
        <w:t xml:space="preserve">ניתן היום,  </w:t>
      </w:r>
      <w:sdt>
        <w:sdtPr>
          <w:rPr>
            <w:rFonts w:ascii="Arial" w:hAnsi="Arial"/>
            <w:b/>
            <w:bCs/>
            <w:sz w:val="26"/>
            <w:szCs w:val="26"/>
            <w:rtl/>
          </w:rPr>
          <w:alias w:val="1455"/>
          <w:tag w:val="1455"/>
          <w:id w:val="-750497047"/>
          <w:text w:multiLine="1"/>
        </w:sdtPr>
        <w:sdtEndPr/>
        <w:sdtContent>
          <w:r>
            <w:rPr>
              <w:rFonts w:ascii="Arial" w:hAnsi="Arial" w:hint="cs"/>
              <w:b/>
              <w:bCs/>
              <w:sz w:val="26"/>
              <w:szCs w:val="26"/>
              <w:rtl/>
            </w:rPr>
            <w:t>א' אייר תשפ"ה</w:t>
          </w:r>
        </w:sdtContent>
      </w:sdt>
      <w:r w:rsidRPr="000F2247">
        <w:rPr>
          <w:rFonts w:ascii="Arial" w:hAnsi="Arial"/>
          <w:b/>
          <w:bCs/>
          <w:sz w:val="26"/>
          <w:szCs w:val="26"/>
          <w:rtl/>
        </w:rPr>
        <w:t xml:space="preserve">, </w:t>
      </w:r>
      <w:sdt>
        <w:sdtPr>
          <w:rPr>
            <w:rFonts w:ascii="Arial" w:hAnsi="Arial"/>
            <w:b/>
            <w:bCs/>
            <w:sz w:val="26"/>
            <w:szCs w:val="26"/>
            <w:rtl/>
          </w:rPr>
          <w:alias w:val="1456"/>
          <w:tag w:val="1456"/>
          <w:id w:val="367718347"/>
          <w:text w:multiLine="1"/>
        </w:sdtPr>
        <w:sdtEndPr/>
        <w:sdtContent>
          <w:r>
            <w:rPr>
              <w:rFonts w:ascii="Arial" w:hAnsi="Arial"/>
              <w:b/>
              <w:bCs/>
              <w:sz w:val="26"/>
              <w:szCs w:val="26"/>
              <w:rtl/>
            </w:rPr>
            <w:t>29 אפריל 2025</w:t>
          </w:r>
        </w:sdtContent>
      </w:sdt>
      <w:r w:rsidRPr="000F2247">
        <w:rPr>
          <w:rFonts w:ascii="Arial" w:hAnsi="Arial"/>
          <w:b/>
          <w:bCs/>
          <w:sz w:val="26"/>
          <w:szCs w:val="26"/>
          <w:rtl/>
        </w:rPr>
        <w:t>, ב</w:t>
      </w:r>
      <w:r w:rsidR="00D218EB">
        <w:rPr>
          <w:rFonts w:ascii="Arial" w:hAnsi="Arial" w:hint="cs"/>
          <w:b/>
          <w:bCs/>
          <w:sz w:val="26"/>
          <w:szCs w:val="26"/>
          <w:rtl/>
        </w:rPr>
        <w:t>נוכחות</w:t>
      </w:r>
      <w:r w:rsidRPr="000F2247">
        <w:rPr>
          <w:rFonts w:ascii="Arial" w:hAnsi="Arial"/>
          <w:b/>
          <w:bCs/>
          <w:sz w:val="26"/>
          <w:szCs w:val="26"/>
          <w:rtl/>
        </w:rPr>
        <w:t xml:space="preserve"> הצדדים.</w:t>
      </w:r>
    </w:p>
    <w:p w14:paraId="1A44F3C6" w14:textId="77777777" w:rsidR="00507694" w:rsidRPr="000F2247" w:rsidRDefault="00ED4465" w:rsidP="00FD7CF9">
      <w:pPr>
        <w:spacing w:line="360" w:lineRule="auto"/>
        <w:jc w:val="both"/>
        <w:rPr>
          <w:rFonts w:ascii="Arial" w:hAnsi="Arial"/>
          <w:b/>
          <w:bCs/>
          <w:sz w:val="26"/>
          <w:szCs w:val="26"/>
          <w:rtl/>
        </w:rPr>
      </w:pP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b/>
          <w:bCs/>
          <w:sz w:val="26"/>
          <w:szCs w:val="26"/>
          <w:rtl/>
        </w:rPr>
        <w:tab/>
      </w:r>
      <w:r>
        <w:rPr>
          <w:rFonts w:ascii="Arial" w:hAnsi="Arial" w:hint="cs"/>
          <w:b/>
          <w:bCs/>
          <w:sz w:val="26"/>
          <w:szCs w:val="26"/>
          <w:rtl/>
        </w:rPr>
        <w:t xml:space="preserve">     </w:t>
      </w:r>
      <w:sdt>
        <w:sdtPr>
          <w:rPr>
            <w:rFonts w:ascii="Arial" w:hAnsi="Arial"/>
            <w:b/>
            <w:bCs/>
            <w:sz w:val="26"/>
            <w:szCs w:val="26"/>
            <w:rtl/>
          </w:rPr>
          <w:alias w:val="2045"/>
          <w:tag w:val="2045"/>
          <w:id w:val="2049650239"/>
          <w:placeholder>
            <w:docPart w:val="4C499F2ED676413B965A992DD16BA968"/>
          </w:placeholder>
          <w:showingPlcHdr/>
          <w:text w:multiLine="1"/>
        </w:sdtPr>
        <w:sdtEndPr/>
        <w:sdtContent>
          <w:r w:rsidR="004902D6">
            <w:rPr>
              <w:rFonts w:ascii="Arial" w:hAnsi="Arial" w:hint="cs"/>
              <w:b/>
              <w:bCs/>
              <w:sz w:val="26"/>
              <w:szCs w:val="26"/>
              <w:rtl/>
            </w:rPr>
            <w:t xml:space="preserve">    </w:t>
          </w:r>
        </w:sdtContent>
      </w:sdt>
    </w:p>
    <w:p w14:paraId="1B7E6B8B" w14:textId="77777777" w:rsidR="006E496E" w:rsidRPr="006E496E" w:rsidRDefault="003E0C9F" w:rsidP="006E496E">
      <w:pPr>
        <w:jc w:val="center"/>
        <w:rPr>
          <w:rFonts w:ascii="Arial" w:hAnsi="Arial"/>
          <w:b/>
          <w:bCs/>
          <w:sz w:val="26"/>
          <w:szCs w:val="26"/>
        </w:rPr>
      </w:pPr>
      <w:r w:rsidRPr="000F2247">
        <w:rPr>
          <w:rFonts w:ascii="Arial" w:hAnsi="Arial"/>
          <w:b/>
          <w:bCs/>
          <w:sz w:val="26"/>
          <w:szCs w:val="26"/>
          <w:rtl/>
        </w:rPr>
        <w:t xml:space="preserve">   </w:t>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r w:rsidRPr="000F2247">
        <w:rPr>
          <w:rFonts w:ascii="Arial" w:hAnsi="Arial"/>
          <w:b/>
          <w:bCs/>
          <w:sz w:val="26"/>
          <w:szCs w:val="26"/>
          <w:rtl/>
        </w:rPr>
        <w:tab/>
      </w:r>
    </w:p>
    <w:p w14:paraId="5BF06F4A" w14:textId="77777777" w:rsidR="006E496E" w:rsidRPr="006E496E" w:rsidRDefault="006E496E" w:rsidP="006E496E">
      <w:pPr>
        <w:jc w:val="center"/>
        <w:rPr>
          <w:rFonts w:ascii="Arial" w:hAnsi="Arial"/>
          <w:b/>
          <w:bCs/>
          <w:sz w:val="26"/>
          <w:szCs w:val="26"/>
          <w:rtl/>
        </w:rPr>
      </w:pPr>
    </w:p>
    <w:p w14:paraId="31EA41C6" w14:textId="77777777" w:rsidR="006E496E" w:rsidRPr="006E496E" w:rsidRDefault="006E496E" w:rsidP="006E496E">
      <w:pPr>
        <w:jc w:val="center"/>
        <w:rPr>
          <w:rFonts w:ascii="Arial" w:hAnsi="Arial"/>
          <w:b/>
          <w:bCs/>
          <w:sz w:val="26"/>
          <w:szCs w:val="26"/>
          <w:rtl/>
        </w:rPr>
      </w:pPr>
    </w:p>
    <w:tbl>
      <w:tblPr>
        <w:tblStyle w:val="a9"/>
        <w:tblpPr w:leftFromText="180" w:rightFromText="180" w:vertAnchor="text" w:horzAnchor="margin" w:tblpXSpec="center" w:tblpY="35"/>
        <w:bidiVisual/>
        <w:tblW w:w="102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383"/>
        <w:gridCol w:w="3536"/>
        <w:gridCol w:w="3341"/>
      </w:tblGrid>
      <w:tr w:rsidR="006E496E" w:rsidRPr="006E496E" w14:paraId="46C90FF3" w14:textId="77777777" w:rsidTr="006E496E">
        <w:tc>
          <w:tcPr>
            <w:tcW w:w="3383" w:type="dxa"/>
            <w:hideMark/>
          </w:tcPr>
          <w:sdt>
            <w:sdtPr>
              <w:rPr>
                <w:rFonts w:ascii="Arial" w:hAnsi="Arial" w:hint="cs"/>
                <w:b/>
                <w:bCs/>
                <w:sz w:val="26"/>
                <w:szCs w:val="26"/>
                <w:rtl/>
              </w:rPr>
              <w:alias w:val="MergeField"/>
              <w:tag w:val="2250"/>
              <w:id w:val="-130406988"/>
            </w:sdtPr>
            <w:sdtEndPr/>
            <w:sdtContent>
              <w:p w14:paraId="02EA253F" w14:textId="40A95482" w:rsidR="006E496E" w:rsidRPr="006E496E" w:rsidRDefault="006E496E" w:rsidP="006E496E">
                <w:pPr>
                  <w:jc w:val="center"/>
                  <w:rPr>
                    <w:rFonts w:ascii="Arial" w:hAnsi="Arial"/>
                    <w:b/>
                    <w:bCs/>
                    <w:sz w:val="26"/>
                    <w:szCs w:val="26"/>
                    <w:rtl/>
                  </w:rPr>
                </w:pPr>
                <w:r w:rsidRPr="006E496E">
                  <w:rPr>
                    <w:rFonts w:ascii="Arial" w:hAnsi="Arial"/>
                    <w:b/>
                    <w:bCs/>
                    <w:noProof/>
                    <w:sz w:val="26"/>
                    <w:szCs w:val="26"/>
                  </w:rPr>
                  <w:drawing>
                    <wp:inline distT="0" distB="0" distL="0" distR="0" wp14:anchorId="703A0D38" wp14:editId="09EC1333">
                      <wp:extent cx="1524000" cy="514350"/>
                      <wp:effectExtent l="0" t="0" r="0" b="0"/>
                      <wp:docPr id="7" name="תמונה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0" cy="514350"/>
                              </a:xfrm>
                              <a:prstGeom prst="rect">
                                <a:avLst/>
                              </a:prstGeom>
                              <a:noFill/>
                              <a:ln>
                                <a:noFill/>
                              </a:ln>
                            </pic:spPr>
                          </pic:pic>
                        </a:graphicData>
                      </a:graphic>
                    </wp:inline>
                  </w:drawing>
                </w:r>
              </w:p>
            </w:sdtContent>
          </w:sdt>
        </w:tc>
        <w:tc>
          <w:tcPr>
            <w:tcW w:w="3536" w:type="dxa"/>
          </w:tcPr>
          <w:p w14:paraId="6BA38CF8" w14:textId="77777777" w:rsidR="006E496E" w:rsidRPr="006E496E" w:rsidRDefault="006E496E" w:rsidP="006E496E">
            <w:pPr>
              <w:jc w:val="center"/>
              <w:rPr>
                <w:rFonts w:ascii="Arial" w:hAnsi="Arial"/>
                <w:b/>
                <w:bCs/>
                <w:sz w:val="26"/>
                <w:szCs w:val="26"/>
              </w:rPr>
            </w:pPr>
          </w:p>
          <w:sdt>
            <w:sdtPr>
              <w:rPr>
                <w:rFonts w:ascii="Arial" w:hAnsi="Arial" w:hint="cs"/>
                <w:b/>
                <w:bCs/>
                <w:sz w:val="26"/>
                <w:szCs w:val="26"/>
                <w:rtl/>
              </w:rPr>
              <w:alias w:val="MergeField"/>
              <w:tag w:val="2251"/>
              <w:id w:val="-1271314896"/>
            </w:sdtPr>
            <w:sdtEndPr/>
            <w:sdtContent>
              <w:p w14:paraId="7C63F0F1" w14:textId="14A4DA29" w:rsidR="006E496E" w:rsidRPr="006E496E" w:rsidRDefault="006E496E" w:rsidP="006E496E">
                <w:pPr>
                  <w:jc w:val="center"/>
                  <w:rPr>
                    <w:rFonts w:ascii="Arial" w:hAnsi="Arial"/>
                    <w:b/>
                    <w:bCs/>
                    <w:sz w:val="26"/>
                    <w:szCs w:val="26"/>
                    <w:rtl/>
                  </w:rPr>
                </w:pPr>
                <w:r w:rsidRPr="006E496E">
                  <w:rPr>
                    <w:rFonts w:ascii="Arial" w:hAnsi="Arial"/>
                    <w:b/>
                    <w:bCs/>
                    <w:noProof/>
                    <w:sz w:val="26"/>
                    <w:szCs w:val="26"/>
                  </w:rPr>
                  <w:drawing>
                    <wp:inline distT="0" distB="0" distL="0" distR="0" wp14:anchorId="7E1A0245" wp14:editId="375A0CAB">
                      <wp:extent cx="1571625" cy="800100"/>
                      <wp:effectExtent l="0" t="0" r="9525" b="0"/>
                      <wp:docPr id="6" name="תמונה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71625" cy="800100"/>
                              </a:xfrm>
                              <a:prstGeom prst="rect">
                                <a:avLst/>
                              </a:prstGeom>
                              <a:noFill/>
                              <a:ln>
                                <a:noFill/>
                              </a:ln>
                            </pic:spPr>
                          </pic:pic>
                        </a:graphicData>
                      </a:graphic>
                    </wp:inline>
                  </w:drawing>
                </w:r>
              </w:p>
            </w:sdtContent>
          </w:sdt>
        </w:tc>
        <w:tc>
          <w:tcPr>
            <w:tcW w:w="3341" w:type="dxa"/>
            <w:hideMark/>
          </w:tcPr>
          <w:sdt>
            <w:sdtPr>
              <w:rPr>
                <w:rFonts w:ascii="Arial" w:hAnsi="Arial" w:hint="cs"/>
                <w:b/>
                <w:bCs/>
                <w:sz w:val="26"/>
                <w:szCs w:val="26"/>
                <w:rtl/>
              </w:rPr>
              <w:alias w:val="MergeField"/>
              <w:tag w:val="2252"/>
              <w:id w:val="-248037766"/>
            </w:sdtPr>
            <w:sdtEndPr/>
            <w:sdtContent>
              <w:p w14:paraId="211F3F38" w14:textId="1016E430" w:rsidR="006E496E" w:rsidRPr="006E496E" w:rsidRDefault="006E496E" w:rsidP="006E496E">
                <w:pPr>
                  <w:jc w:val="center"/>
                  <w:rPr>
                    <w:rFonts w:ascii="Arial" w:hAnsi="Arial"/>
                    <w:b/>
                    <w:bCs/>
                    <w:sz w:val="26"/>
                    <w:szCs w:val="26"/>
                  </w:rPr>
                </w:pPr>
                <w:r w:rsidRPr="006E496E">
                  <w:rPr>
                    <w:rFonts w:ascii="Arial" w:hAnsi="Arial"/>
                    <w:b/>
                    <w:bCs/>
                    <w:noProof/>
                    <w:sz w:val="26"/>
                    <w:szCs w:val="26"/>
                  </w:rPr>
                  <w:drawing>
                    <wp:inline distT="0" distB="0" distL="0" distR="0" wp14:anchorId="46D604AE" wp14:editId="7F3ADC00">
                      <wp:extent cx="952500" cy="666750"/>
                      <wp:effectExtent l="0" t="0" r="0" b="0"/>
                      <wp:docPr id="5" name="תמונה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52500" cy="666750"/>
                              </a:xfrm>
                              <a:prstGeom prst="rect">
                                <a:avLst/>
                              </a:prstGeom>
                              <a:noFill/>
                              <a:ln>
                                <a:noFill/>
                              </a:ln>
                            </pic:spPr>
                          </pic:pic>
                        </a:graphicData>
                      </a:graphic>
                    </wp:inline>
                  </w:drawing>
                </w:r>
              </w:p>
            </w:sdtContent>
          </w:sdt>
        </w:tc>
      </w:tr>
      <w:tr w:rsidR="006E496E" w:rsidRPr="006E496E" w14:paraId="07C0D034" w14:textId="77777777" w:rsidTr="006E496E">
        <w:tc>
          <w:tcPr>
            <w:tcW w:w="3383" w:type="dxa"/>
            <w:hideMark/>
          </w:tcPr>
          <w:p w14:paraId="2A75B77E" w14:textId="77777777" w:rsidR="006E496E" w:rsidRPr="006E496E" w:rsidRDefault="00F10C1C" w:rsidP="006E496E">
            <w:pPr>
              <w:jc w:val="center"/>
              <w:rPr>
                <w:rFonts w:ascii="Arial" w:hAnsi="Arial"/>
                <w:b/>
                <w:bCs/>
                <w:sz w:val="26"/>
                <w:szCs w:val="26"/>
              </w:rPr>
            </w:pPr>
            <w:sdt>
              <w:sdtPr>
                <w:rPr>
                  <w:rFonts w:ascii="Arial" w:hAnsi="Arial"/>
                  <w:b/>
                  <w:bCs/>
                  <w:sz w:val="26"/>
                  <w:szCs w:val="26"/>
                  <w:rtl/>
                </w:rPr>
                <w:alias w:val="2235"/>
                <w:tag w:val="2235"/>
                <w:id w:val="1100069598"/>
              </w:sdtPr>
              <w:sdtEndPr/>
              <w:sdtContent>
                <w:r w:rsidR="006E496E" w:rsidRPr="006E496E">
                  <w:rPr>
                    <w:rFonts w:ascii="Arial" w:hAnsi="Arial"/>
                    <w:b/>
                    <w:bCs/>
                    <w:sz w:val="26"/>
                    <w:szCs w:val="26"/>
                    <w:rtl/>
                  </w:rPr>
                  <w:t>עמי</w:t>
                </w:r>
              </w:sdtContent>
            </w:sdt>
            <w:r w:rsidR="006E496E" w:rsidRPr="006E496E">
              <w:rPr>
                <w:rFonts w:ascii="Arial" w:hAnsi="Arial"/>
                <w:b/>
                <w:bCs/>
                <w:sz w:val="26"/>
                <w:szCs w:val="26"/>
                <w:rtl/>
              </w:rPr>
              <w:t xml:space="preserve">  </w:t>
            </w:r>
            <w:sdt>
              <w:sdtPr>
                <w:rPr>
                  <w:rFonts w:ascii="Arial" w:hAnsi="Arial"/>
                  <w:b/>
                  <w:bCs/>
                  <w:sz w:val="26"/>
                  <w:szCs w:val="26"/>
                  <w:rtl/>
                </w:rPr>
                <w:alias w:val="2240"/>
                <w:tag w:val="2240"/>
                <w:id w:val="825638415"/>
              </w:sdtPr>
              <w:sdtEndPr/>
              <w:sdtContent>
                <w:r w:rsidR="006E496E" w:rsidRPr="006E496E">
                  <w:rPr>
                    <w:rFonts w:ascii="Arial" w:hAnsi="Arial"/>
                    <w:b/>
                    <w:bCs/>
                    <w:sz w:val="26"/>
                    <w:szCs w:val="26"/>
                    <w:rtl/>
                  </w:rPr>
                  <w:t>קובו</w:t>
                </w:r>
              </w:sdtContent>
            </w:sdt>
            <w:r w:rsidR="006E496E" w:rsidRPr="006E496E">
              <w:rPr>
                <w:rFonts w:ascii="Arial" w:hAnsi="Arial"/>
                <w:b/>
                <w:bCs/>
                <w:sz w:val="26"/>
                <w:szCs w:val="26"/>
                <w:rtl/>
              </w:rPr>
              <w:t xml:space="preserve">, </w:t>
            </w:r>
            <w:sdt>
              <w:sdtPr>
                <w:rPr>
                  <w:rFonts w:ascii="Arial" w:hAnsi="Arial"/>
                  <w:b/>
                  <w:bCs/>
                  <w:sz w:val="26"/>
                  <w:szCs w:val="26"/>
                  <w:rtl/>
                </w:rPr>
                <w:alias w:val="2245"/>
                <w:tag w:val="2245"/>
                <w:id w:val="533847746"/>
              </w:sdtPr>
              <w:sdtEndPr/>
              <w:sdtContent>
                <w:r w:rsidR="006E496E" w:rsidRPr="006E496E">
                  <w:rPr>
                    <w:rFonts w:ascii="Arial" w:hAnsi="Arial"/>
                    <w:b/>
                    <w:bCs/>
                    <w:sz w:val="26"/>
                    <w:szCs w:val="26"/>
                    <w:rtl/>
                  </w:rPr>
                  <w:t xml:space="preserve">שופט,                             סגן הנשיאה, </w:t>
                </w:r>
              </w:sdtContent>
            </w:sdt>
          </w:p>
        </w:tc>
        <w:tc>
          <w:tcPr>
            <w:tcW w:w="3536" w:type="dxa"/>
            <w:hideMark/>
          </w:tcPr>
          <w:p w14:paraId="010D2AEE" w14:textId="77777777" w:rsidR="006E496E" w:rsidRPr="006E496E" w:rsidRDefault="00F10C1C" w:rsidP="006E496E">
            <w:pPr>
              <w:jc w:val="center"/>
              <w:rPr>
                <w:rFonts w:ascii="Arial" w:hAnsi="Arial"/>
                <w:b/>
                <w:bCs/>
                <w:sz w:val="26"/>
                <w:szCs w:val="26"/>
                <w:rtl/>
              </w:rPr>
            </w:pPr>
            <w:sdt>
              <w:sdtPr>
                <w:rPr>
                  <w:rFonts w:ascii="Arial" w:hAnsi="Arial"/>
                  <w:b/>
                  <w:bCs/>
                  <w:sz w:val="26"/>
                  <w:szCs w:val="26"/>
                  <w:rtl/>
                </w:rPr>
                <w:alias w:val="2236"/>
                <w:tag w:val="2236"/>
                <w:id w:val="639300144"/>
              </w:sdtPr>
              <w:sdtEndPr/>
              <w:sdtContent>
                <w:r w:rsidR="006E496E" w:rsidRPr="006E496E">
                  <w:rPr>
                    <w:rFonts w:ascii="Arial" w:hAnsi="Arial"/>
                    <w:b/>
                    <w:bCs/>
                    <w:sz w:val="26"/>
                    <w:szCs w:val="26"/>
                    <w:rtl/>
                  </w:rPr>
                  <w:t>מיכאל</w:t>
                </w:r>
              </w:sdtContent>
            </w:sdt>
            <w:r w:rsidR="006E496E" w:rsidRPr="006E496E">
              <w:rPr>
                <w:rFonts w:ascii="Arial" w:hAnsi="Arial"/>
                <w:b/>
                <w:bCs/>
                <w:sz w:val="26"/>
                <w:szCs w:val="26"/>
                <w:rtl/>
              </w:rPr>
              <w:t xml:space="preserve"> </w:t>
            </w:r>
            <w:sdt>
              <w:sdtPr>
                <w:rPr>
                  <w:rFonts w:ascii="Arial" w:hAnsi="Arial"/>
                  <w:b/>
                  <w:bCs/>
                  <w:sz w:val="26"/>
                  <w:szCs w:val="26"/>
                  <w:rtl/>
                </w:rPr>
                <w:alias w:val="2241"/>
                <w:tag w:val="2241"/>
                <w:id w:val="-2097088705"/>
              </w:sdtPr>
              <w:sdtEndPr/>
              <w:sdtContent>
                <w:r w:rsidR="006E496E" w:rsidRPr="006E496E">
                  <w:rPr>
                    <w:rFonts w:ascii="Arial" w:hAnsi="Arial"/>
                    <w:b/>
                    <w:bCs/>
                    <w:sz w:val="26"/>
                    <w:szCs w:val="26"/>
                    <w:rtl/>
                  </w:rPr>
                  <w:t>קרשן</w:t>
                </w:r>
              </w:sdtContent>
            </w:sdt>
            <w:r w:rsidR="006E496E" w:rsidRPr="006E496E">
              <w:rPr>
                <w:rFonts w:ascii="Arial" w:hAnsi="Arial"/>
                <w:b/>
                <w:bCs/>
                <w:sz w:val="26"/>
                <w:szCs w:val="26"/>
                <w:rtl/>
              </w:rPr>
              <w:t xml:space="preserve">, </w:t>
            </w:r>
            <w:sdt>
              <w:sdtPr>
                <w:rPr>
                  <w:rFonts w:ascii="Arial" w:hAnsi="Arial"/>
                  <w:b/>
                  <w:bCs/>
                  <w:sz w:val="26"/>
                  <w:szCs w:val="26"/>
                  <w:rtl/>
                </w:rPr>
                <w:alias w:val="2246"/>
                <w:tag w:val="2246"/>
                <w:id w:val="-1989393221"/>
              </w:sdtPr>
              <w:sdtEndPr/>
              <w:sdtContent>
                <w:r w:rsidR="006E496E" w:rsidRPr="006E496E">
                  <w:rPr>
                    <w:rFonts w:ascii="Arial" w:hAnsi="Arial"/>
                    <w:b/>
                    <w:bCs/>
                    <w:sz w:val="26"/>
                    <w:szCs w:val="26"/>
                    <w:rtl/>
                  </w:rPr>
                  <w:t>שופט</w:t>
                </w:r>
              </w:sdtContent>
            </w:sdt>
          </w:p>
        </w:tc>
        <w:tc>
          <w:tcPr>
            <w:tcW w:w="3341" w:type="dxa"/>
            <w:hideMark/>
          </w:tcPr>
          <w:p w14:paraId="71348AE1" w14:textId="77777777" w:rsidR="006E496E" w:rsidRPr="006E496E" w:rsidRDefault="00F10C1C" w:rsidP="006E496E">
            <w:pPr>
              <w:jc w:val="center"/>
              <w:rPr>
                <w:rFonts w:ascii="Arial" w:hAnsi="Arial"/>
                <w:b/>
                <w:bCs/>
                <w:sz w:val="26"/>
                <w:szCs w:val="26"/>
                <w:rtl/>
              </w:rPr>
            </w:pPr>
            <w:sdt>
              <w:sdtPr>
                <w:rPr>
                  <w:rFonts w:ascii="Arial" w:hAnsi="Arial"/>
                  <w:b/>
                  <w:bCs/>
                  <w:sz w:val="26"/>
                  <w:szCs w:val="26"/>
                  <w:rtl/>
                </w:rPr>
                <w:alias w:val="2237"/>
                <w:tag w:val="2237"/>
                <w:id w:val="-31890643"/>
              </w:sdtPr>
              <w:sdtEndPr/>
              <w:sdtContent>
                <w:r w:rsidR="006E496E" w:rsidRPr="006E496E">
                  <w:rPr>
                    <w:rFonts w:ascii="Arial" w:hAnsi="Arial"/>
                    <w:b/>
                    <w:bCs/>
                    <w:sz w:val="26"/>
                    <w:szCs w:val="26"/>
                    <w:rtl/>
                  </w:rPr>
                  <w:t>מרב</w:t>
                </w:r>
              </w:sdtContent>
            </w:sdt>
            <w:r w:rsidR="006E496E" w:rsidRPr="006E496E">
              <w:rPr>
                <w:rFonts w:ascii="Arial" w:hAnsi="Arial"/>
                <w:b/>
                <w:bCs/>
                <w:sz w:val="26"/>
                <w:szCs w:val="26"/>
                <w:rtl/>
              </w:rPr>
              <w:t xml:space="preserve"> </w:t>
            </w:r>
            <w:sdt>
              <w:sdtPr>
                <w:rPr>
                  <w:rFonts w:ascii="Arial" w:hAnsi="Arial"/>
                  <w:b/>
                  <w:bCs/>
                  <w:sz w:val="26"/>
                  <w:szCs w:val="26"/>
                  <w:rtl/>
                </w:rPr>
                <w:alias w:val="2242"/>
                <w:tag w:val="2242"/>
                <w:id w:val="358854881"/>
              </w:sdtPr>
              <w:sdtEndPr/>
              <w:sdtContent>
                <w:r w:rsidR="006E496E" w:rsidRPr="006E496E">
                  <w:rPr>
                    <w:rFonts w:ascii="Arial" w:hAnsi="Arial"/>
                    <w:b/>
                    <w:bCs/>
                    <w:sz w:val="26"/>
                    <w:szCs w:val="26"/>
                    <w:rtl/>
                  </w:rPr>
                  <w:t>גרינברג</w:t>
                </w:r>
              </w:sdtContent>
            </w:sdt>
            <w:r w:rsidR="006E496E" w:rsidRPr="006E496E">
              <w:rPr>
                <w:rFonts w:ascii="Arial" w:hAnsi="Arial"/>
                <w:b/>
                <w:bCs/>
                <w:sz w:val="26"/>
                <w:szCs w:val="26"/>
                <w:rtl/>
              </w:rPr>
              <w:t xml:space="preserve">, </w:t>
            </w:r>
            <w:sdt>
              <w:sdtPr>
                <w:rPr>
                  <w:rFonts w:ascii="Arial" w:hAnsi="Arial"/>
                  <w:b/>
                  <w:bCs/>
                  <w:sz w:val="26"/>
                  <w:szCs w:val="26"/>
                  <w:rtl/>
                </w:rPr>
                <w:alias w:val="2247"/>
                <w:tag w:val="2247"/>
                <w:id w:val="243227774"/>
              </w:sdtPr>
              <w:sdtEndPr/>
              <w:sdtContent>
                <w:r w:rsidR="006E496E" w:rsidRPr="006E496E">
                  <w:rPr>
                    <w:rFonts w:ascii="Arial" w:hAnsi="Arial"/>
                    <w:b/>
                    <w:bCs/>
                    <w:sz w:val="26"/>
                    <w:szCs w:val="26"/>
                    <w:rtl/>
                  </w:rPr>
                  <w:t>שופטת</w:t>
                </w:r>
              </w:sdtContent>
            </w:sdt>
          </w:p>
        </w:tc>
      </w:tr>
    </w:tbl>
    <w:p w14:paraId="6248B4DD" w14:textId="0B0020A7" w:rsidR="00507694" w:rsidRPr="000F2247" w:rsidRDefault="00507694" w:rsidP="002B7D23">
      <w:pPr>
        <w:jc w:val="center"/>
        <w:rPr>
          <w:rFonts w:ascii="Arial" w:hAnsi="Arial"/>
          <w:b/>
          <w:bCs/>
          <w:sz w:val="26"/>
          <w:szCs w:val="26"/>
          <w:rtl/>
        </w:rPr>
      </w:pPr>
    </w:p>
    <w:sectPr w:rsidR="00507694" w:rsidRPr="000F2247" w:rsidSect="00507694">
      <w:headerReference w:type="even" r:id="rId11"/>
      <w:headerReference w:type="default" r:id="rId12"/>
      <w:footerReference w:type="even" r:id="rId13"/>
      <w:footerReference w:type="default" r:id="rId14"/>
      <w:headerReference w:type="first" r:id="rId15"/>
      <w:footerReference w:type="first" r:id="rId16"/>
      <w:pgSz w:w="11907" w:h="16840" w:code="9"/>
      <w:pgMar w:top="244" w:right="1701" w:bottom="2552" w:left="1701" w:header="187" w:footer="720" w:gutter="0"/>
      <w:cols w:space="720"/>
      <w:bidi/>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CD307" w14:textId="77777777" w:rsidR="00507694" w:rsidRDefault="00684E84">
      <w:r>
        <w:separator/>
      </w:r>
    </w:p>
  </w:endnote>
  <w:endnote w:type="continuationSeparator" w:id="0">
    <w:p w14:paraId="20969D23" w14:textId="77777777" w:rsidR="00507694" w:rsidRDefault="00684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BF9B" w14:textId="77777777" w:rsidR="00BD67E7" w:rsidRDefault="0006726A" w:rsidP="007D46DD">
    <w:pPr>
      <w:pStyle w:val="a5"/>
      <w:framePr w:wrap="around" w:vAnchor="text" w:hAnchor="text" w:y="1"/>
      <w:rPr>
        <w:rStyle w:val="aa"/>
      </w:rPr>
    </w:pPr>
    <w:r>
      <w:rPr>
        <w:rStyle w:val="aa"/>
        <w:rtl/>
      </w:rPr>
      <w:fldChar w:fldCharType="begin"/>
    </w:r>
    <w:r w:rsidR="00BD67E7">
      <w:rPr>
        <w:rStyle w:val="aa"/>
      </w:rPr>
      <w:instrText xml:space="preserve">PAGE  </w:instrText>
    </w:r>
    <w:r>
      <w:rPr>
        <w:rStyle w:val="aa"/>
        <w:rtl/>
      </w:rPr>
      <w:fldChar w:fldCharType="end"/>
    </w:r>
  </w:p>
  <w:p w14:paraId="11BC5296" w14:textId="77777777" w:rsidR="00BD67E7" w:rsidRDefault="00BD67E7" w:rsidP="00BD67E7">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E54D11" w14:textId="79F3016E" w:rsidR="00BD67E7" w:rsidRDefault="00BD67E7" w:rsidP="00BD67E7">
    <w:pPr>
      <w:pStyle w:val="a5"/>
      <w:ind w:right="360"/>
      <w:jc w:val="center"/>
    </w:pPr>
    <w:r>
      <w:rPr>
        <w:rtl/>
      </w:rPr>
      <w:t>עמוד</w:t>
    </w:r>
    <w:r>
      <w:t xml:space="preserve"> </w:t>
    </w:r>
    <w:r w:rsidR="0006726A">
      <w:fldChar w:fldCharType="begin"/>
    </w:r>
    <w:r>
      <w:instrText xml:space="preserve"> PAGE </w:instrText>
    </w:r>
    <w:r w:rsidR="0006726A">
      <w:fldChar w:fldCharType="separate"/>
    </w:r>
    <w:r w:rsidR="00963F9F">
      <w:rPr>
        <w:noProof/>
        <w:rtl/>
      </w:rPr>
      <w:t>12</w:t>
    </w:r>
    <w:r w:rsidR="0006726A">
      <w:fldChar w:fldCharType="end"/>
    </w:r>
    <w:r>
      <w:t xml:space="preserve"> </w:t>
    </w:r>
    <w:r>
      <w:rPr>
        <w:rtl/>
      </w:rPr>
      <w:t>מתוך</w:t>
    </w:r>
    <w:r>
      <w:t xml:space="preserve"> </w:t>
    </w:r>
    <w:r w:rsidR="0006726A">
      <w:fldChar w:fldCharType="begin"/>
    </w:r>
    <w:r>
      <w:instrText xml:space="preserve"> NUMPAGES </w:instrText>
    </w:r>
    <w:r w:rsidR="0006726A">
      <w:fldChar w:fldCharType="separate"/>
    </w:r>
    <w:r w:rsidR="00963F9F">
      <w:rPr>
        <w:noProof/>
        <w:rtl/>
      </w:rPr>
      <w:t>13</w:t>
    </w:r>
    <w:r w:rsidR="0006726A">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4E88D9" w14:textId="77777777" w:rsidR="00821F29" w:rsidRDefault="00821F2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3C16E" w14:textId="77777777" w:rsidR="00507694" w:rsidRDefault="00684E84">
      <w:r>
        <w:separator/>
      </w:r>
    </w:p>
  </w:footnote>
  <w:footnote w:type="continuationSeparator" w:id="0">
    <w:p w14:paraId="4DB5133D" w14:textId="77777777" w:rsidR="00507694" w:rsidRDefault="00684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495B0" w14:textId="77777777" w:rsidR="00821F29" w:rsidRDefault="00821F29">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1B21B" w14:textId="0CBD3A00" w:rsidR="00507694" w:rsidRDefault="005C7B0B">
    <w:pPr>
      <w:pStyle w:val="a4"/>
      <w:jc w:val="center"/>
      <w:rPr>
        <w:rFonts w:cs="FrankRuehl"/>
        <w:sz w:val="28"/>
        <w:szCs w:val="28"/>
        <w:rtl/>
      </w:rPr>
    </w:pPr>
    <w:r>
      <w:rPr>
        <w:rFonts w:cs="FrankRuehl"/>
        <w:noProof/>
        <w:sz w:val="28"/>
        <w:szCs w:val="28"/>
      </w:rPr>
      <w:drawing>
        <wp:inline distT="0" distB="0" distL="0" distR="0" wp14:anchorId="192826CB" wp14:editId="3464E8F4">
          <wp:extent cx="371475" cy="466725"/>
          <wp:effectExtent l="0" t="0" r="9525" b="952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36"/>
      <w:gridCol w:w="3569"/>
    </w:tblGrid>
    <w:tr w:rsidR="00507694" w14:paraId="5BDCCB33" w14:textId="77777777">
      <w:trPr>
        <w:trHeight w:hRule="exact" w:val="418"/>
        <w:jc w:val="center"/>
      </w:trPr>
      <w:sdt>
        <w:sdtPr>
          <w:rPr>
            <w:rtl/>
          </w:rPr>
          <w:alias w:val="1174"/>
          <w:tag w:val="1174"/>
          <w:id w:val="-140351139"/>
          <w:text/>
        </w:sdtPr>
        <w:sdtEndPr/>
        <w:sdtContent>
          <w:tc>
            <w:tcPr>
              <w:tcW w:w="8861" w:type="dxa"/>
              <w:gridSpan w:val="2"/>
            </w:tcPr>
            <w:p w14:paraId="5CCA66F6" w14:textId="77777777" w:rsidR="00507694" w:rsidRDefault="00684E84">
              <w:pPr>
                <w:pStyle w:val="a4"/>
                <w:jc w:val="center"/>
                <w:rPr>
                  <w:rFonts w:ascii="Tahoma" w:hAnsi="Tahoma" w:cs="Tahoma"/>
                  <w:color w:val="000080"/>
                  <w:rtl/>
                </w:rPr>
              </w:pPr>
              <w:r>
                <w:rPr>
                  <w:rFonts w:ascii="Tahoma" w:hAnsi="Tahoma" w:cs="Tahoma"/>
                  <w:b/>
                  <w:bCs/>
                  <w:color w:val="000080"/>
                  <w:rtl/>
                </w:rPr>
                <w:t>בית המשפט המחוזי מרכז-לוד</w:t>
              </w:r>
            </w:p>
          </w:tc>
        </w:sdtContent>
      </w:sdt>
    </w:tr>
    <w:tr w:rsidR="00507694" w14:paraId="3E4CEF7D" w14:textId="77777777">
      <w:trPr>
        <w:trHeight w:val="337"/>
        <w:jc w:val="center"/>
      </w:trPr>
      <w:tc>
        <w:tcPr>
          <w:tcW w:w="5131" w:type="dxa"/>
        </w:tcPr>
        <w:p w14:paraId="406C4994" w14:textId="3C6B3616" w:rsidR="00507694" w:rsidRDefault="00F10C1C">
          <w:pPr>
            <w:rPr>
              <w:rFonts w:cs="FrankRuehl"/>
              <w:sz w:val="28"/>
              <w:szCs w:val="28"/>
              <w:rtl/>
            </w:rPr>
          </w:pPr>
          <w:sdt>
            <w:sdtPr>
              <w:rPr>
                <w:rtl/>
              </w:rPr>
              <w:alias w:val="1170"/>
              <w:tag w:val="1170"/>
              <w:id w:val="2112628154"/>
              <w:text w:multiLine="1"/>
            </w:sdtPr>
            <w:sdtEndPr/>
            <w:sdtContent>
              <w:r w:rsidR="00D33BE7">
                <w:rPr>
                  <w:rFonts w:cs="FrankRuehl"/>
                  <w:sz w:val="28"/>
                  <w:szCs w:val="28"/>
                  <w:rtl/>
                </w:rPr>
                <w:t>תפ"ח</w:t>
              </w:r>
            </w:sdtContent>
          </w:sdt>
          <w:r w:rsidR="00684E84">
            <w:rPr>
              <w:rFonts w:cs="FrankRuehl" w:hint="cs"/>
              <w:sz w:val="28"/>
              <w:szCs w:val="28"/>
              <w:rtl/>
            </w:rPr>
            <w:t xml:space="preserve"> </w:t>
          </w:r>
          <w:sdt>
            <w:sdtPr>
              <w:rPr>
                <w:rtl/>
              </w:rPr>
              <w:alias w:val="1171"/>
              <w:tag w:val="1171"/>
              <w:id w:val="-1870053316"/>
              <w:text w:multiLine="1"/>
            </w:sdtPr>
            <w:sdtEndPr/>
            <w:sdtContent>
              <w:r w:rsidR="00D33BE7">
                <w:rPr>
                  <w:rFonts w:cs="FrankRuehl"/>
                  <w:sz w:val="28"/>
                  <w:szCs w:val="28"/>
                  <w:rtl/>
                </w:rPr>
                <w:t>48717-10-21</w:t>
              </w:r>
            </w:sdtContent>
          </w:sdt>
          <w:r w:rsidR="00684E84">
            <w:rPr>
              <w:rFonts w:cs="FrankRuehl" w:hint="cs"/>
              <w:sz w:val="28"/>
              <w:szCs w:val="28"/>
              <w:rtl/>
            </w:rPr>
            <w:t xml:space="preserve"> </w:t>
          </w:r>
          <w:sdt>
            <w:sdtPr>
              <w:rPr>
                <w:rtl/>
              </w:rPr>
              <w:alias w:val="1172"/>
              <w:tag w:val="1172"/>
              <w:id w:val="-2143494014"/>
              <w:text w:multiLine="1"/>
            </w:sdtPr>
            <w:sdtEndPr/>
            <w:sdtContent>
              <w:r w:rsidR="00D33BE7">
                <w:rPr>
                  <w:rFonts w:cs="FrankRuehl"/>
                  <w:sz w:val="28"/>
                  <w:szCs w:val="28"/>
                  <w:rtl/>
                </w:rPr>
                <w:t xml:space="preserve">מדינת ישראל נ' </w:t>
              </w:r>
              <w:proofErr w:type="spellStart"/>
              <w:r w:rsidR="00D33BE7">
                <w:rPr>
                  <w:rFonts w:cs="FrankRuehl"/>
                  <w:sz w:val="28"/>
                  <w:szCs w:val="28"/>
                  <w:rtl/>
                </w:rPr>
                <w:t>עאזם</w:t>
              </w:r>
              <w:proofErr w:type="spellEnd"/>
            </w:sdtContent>
          </w:sdt>
        </w:p>
        <w:p w14:paraId="154F9BBE" w14:textId="77777777" w:rsidR="00507694" w:rsidRDefault="00507694">
          <w:pPr>
            <w:pStyle w:val="a4"/>
            <w:rPr>
              <w:rFonts w:cs="FrankRuehl"/>
              <w:sz w:val="28"/>
              <w:szCs w:val="28"/>
              <w:rtl/>
            </w:rPr>
          </w:pPr>
        </w:p>
      </w:tc>
      <w:tc>
        <w:tcPr>
          <w:tcW w:w="3730" w:type="dxa"/>
        </w:tcPr>
        <w:p w14:paraId="2A168DDC" w14:textId="77777777" w:rsidR="00507694" w:rsidRDefault="00507694">
          <w:pPr>
            <w:pStyle w:val="a4"/>
            <w:jc w:val="right"/>
            <w:rPr>
              <w:rFonts w:cs="FrankRuehl"/>
              <w:sz w:val="28"/>
              <w:szCs w:val="28"/>
              <w:rtl/>
            </w:rPr>
          </w:pPr>
        </w:p>
      </w:tc>
    </w:tr>
  </w:tbl>
  <w:p w14:paraId="288C5B97" w14:textId="77777777" w:rsidR="00507694" w:rsidRDefault="00684E84">
    <w:pPr>
      <w:pStyle w:val="a4"/>
      <w:rPr>
        <w:rtl/>
      </w:rPr>
    </w:pPr>
    <w:r>
      <w:rPr>
        <w:rFonts w:hint="cs"/>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75E1D" w14:textId="77777777" w:rsidR="00821F29" w:rsidRDefault="00821F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F5203"/>
    <w:multiLevelType w:val="hybridMultilevel"/>
    <w:tmpl w:val="13FC0D5A"/>
    <w:lvl w:ilvl="0" w:tplc="86641988">
      <w:start w:val="1"/>
      <w:numFmt w:val="decimal"/>
      <w:lvlText w:val="%1."/>
      <w:lvlJc w:val="left"/>
      <w:pPr>
        <w:tabs>
          <w:tab w:val="num" w:pos="1080"/>
        </w:tabs>
        <w:ind w:left="1080" w:hanging="720"/>
      </w:pPr>
      <w:rPr>
        <w:rFonts w:ascii="Times New (W1)" w:hAnsi="Times New (W1)" w:cs="Times New (W1)"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C5E6DF5"/>
    <w:multiLevelType w:val="hybridMultilevel"/>
    <w:tmpl w:val="F23C750E"/>
    <w:lvl w:ilvl="0" w:tplc="0CA45970">
      <w:start w:val="1"/>
      <w:numFmt w:val="decimal"/>
      <w:pStyle w:val="a"/>
      <w:lvlText w:val="%1."/>
      <w:lvlJc w:val="left"/>
      <w:pPr>
        <w:tabs>
          <w:tab w:val="num" w:pos="720"/>
        </w:tabs>
        <w:ind w:left="720" w:hanging="720"/>
      </w:pPr>
      <w:rPr>
        <w:b w:val="0"/>
        <w:bCs w:val="0"/>
        <w:lang w:bidi="he-IL"/>
      </w:rPr>
    </w:lvl>
    <w:lvl w:ilvl="1" w:tplc="FEB4E978">
      <w:start w:val="1"/>
      <w:numFmt w:val="hebrew1"/>
      <w:lvlText w:val="%2."/>
      <w:lvlJc w:val="left"/>
      <w:pPr>
        <w:tabs>
          <w:tab w:val="num" w:pos="1620"/>
        </w:tabs>
        <w:ind w:left="1620" w:hanging="360"/>
      </w:pPr>
      <w:rPr>
        <w:b w:val="0"/>
        <w:bCs w:val="0"/>
      </w:rPr>
    </w:lvl>
    <w:lvl w:ilvl="2" w:tplc="C3B0CB38">
      <w:start w:val="1"/>
      <w:numFmt w:val="decimal"/>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52DB5CE5"/>
    <w:multiLevelType w:val="hybridMultilevel"/>
    <w:tmpl w:val="901E528C"/>
    <w:lvl w:ilvl="0" w:tplc="3474CFC0">
      <w:start w:val="1"/>
      <w:numFmt w:val="hebrew1"/>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77A5F0E"/>
    <w:multiLevelType w:val="hybridMultilevel"/>
    <w:tmpl w:val="9B78AF90"/>
    <w:lvl w:ilvl="0" w:tplc="AAE24936">
      <w:start w:val="1"/>
      <w:numFmt w:val="decimal"/>
      <w:lvlText w:val="%1."/>
      <w:lvlJc w:val="left"/>
      <w:pPr>
        <w:ind w:left="1353" w:hanging="360"/>
      </w:pPr>
      <w:rPr>
        <w:rFonts w:ascii="David" w:hAnsi="David" w:cs="David" w:hint="default"/>
        <w:b w:val="0"/>
        <w:bCs w:val="0"/>
        <w:sz w:val="24"/>
        <w:szCs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105686936">
    <w:abstractNumId w:val="2"/>
  </w:num>
  <w:num w:numId="2" w16cid:durableId="1335916500">
    <w:abstractNumId w:val="0"/>
  </w:num>
  <w:num w:numId="3" w16cid:durableId="7301506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87182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972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694"/>
    <w:rsid w:val="0000752B"/>
    <w:rsid w:val="00031F8A"/>
    <w:rsid w:val="000454A8"/>
    <w:rsid w:val="00054FC4"/>
    <w:rsid w:val="0006726A"/>
    <w:rsid w:val="000F2247"/>
    <w:rsid w:val="00100577"/>
    <w:rsid w:val="001352F8"/>
    <w:rsid w:val="00212125"/>
    <w:rsid w:val="00224AC0"/>
    <w:rsid w:val="002B7D23"/>
    <w:rsid w:val="002C5E13"/>
    <w:rsid w:val="002D6C61"/>
    <w:rsid w:val="00367565"/>
    <w:rsid w:val="003D7D8A"/>
    <w:rsid w:val="003E0C9F"/>
    <w:rsid w:val="004215DC"/>
    <w:rsid w:val="004902D6"/>
    <w:rsid w:val="00507694"/>
    <w:rsid w:val="005C7B0B"/>
    <w:rsid w:val="00615873"/>
    <w:rsid w:val="00683ABD"/>
    <w:rsid w:val="00684E84"/>
    <w:rsid w:val="006C2095"/>
    <w:rsid w:val="006E496E"/>
    <w:rsid w:val="00706644"/>
    <w:rsid w:val="00757983"/>
    <w:rsid w:val="007A6E4A"/>
    <w:rsid w:val="00821F29"/>
    <w:rsid w:val="00822550"/>
    <w:rsid w:val="00832D73"/>
    <w:rsid w:val="008819B4"/>
    <w:rsid w:val="00947B38"/>
    <w:rsid w:val="00962EDB"/>
    <w:rsid w:val="00963F9F"/>
    <w:rsid w:val="009705CC"/>
    <w:rsid w:val="00973C24"/>
    <w:rsid w:val="009A730D"/>
    <w:rsid w:val="009E35A7"/>
    <w:rsid w:val="009E49A1"/>
    <w:rsid w:val="009F504D"/>
    <w:rsid w:val="00A504C4"/>
    <w:rsid w:val="00A91BD2"/>
    <w:rsid w:val="00B05847"/>
    <w:rsid w:val="00B22E0A"/>
    <w:rsid w:val="00BB4C87"/>
    <w:rsid w:val="00BD67E7"/>
    <w:rsid w:val="00BE0015"/>
    <w:rsid w:val="00C02463"/>
    <w:rsid w:val="00C45023"/>
    <w:rsid w:val="00C545AB"/>
    <w:rsid w:val="00C55E62"/>
    <w:rsid w:val="00C572E8"/>
    <w:rsid w:val="00CD0DCB"/>
    <w:rsid w:val="00D202F4"/>
    <w:rsid w:val="00D218EB"/>
    <w:rsid w:val="00D3203D"/>
    <w:rsid w:val="00D33BE7"/>
    <w:rsid w:val="00D34F27"/>
    <w:rsid w:val="00D35B18"/>
    <w:rsid w:val="00E10895"/>
    <w:rsid w:val="00E205F4"/>
    <w:rsid w:val="00E70F9C"/>
    <w:rsid w:val="00ED4465"/>
    <w:rsid w:val="00F10C1C"/>
    <w:rsid w:val="00F33DDD"/>
    <w:rsid w:val="00F75AFC"/>
    <w:rsid w:val="00FD7CF9"/>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97281"/>
    <o:shapelayout v:ext="edit">
      <o:idmap v:ext="edit" data="1"/>
    </o:shapelayout>
  </w:shapeDefaults>
  <w:decimalSymbol w:val="."/>
  <w:listSeparator w:val=","/>
  <w14:docId w14:val="2B778A28"/>
  <w15:docId w15:val="{EBBF236C-5AEA-4753-8B68-F6E1D726A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A7B41"/>
    <w:pPr>
      <w:bidi/>
    </w:pPr>
    <w:rPr>
      <w:rFonts w:cs="David"/>
      <w:sz w:val="24"/>
      <w:szCs w:val="24"/>
    </w:rPr>
  </w:style>
  <w:style w:type="paragraph" w:styleId="1">
    <w:name w:val="heading 1"/>
    <w:basedOn w:val="a0"/>
    <w:next w:val="a0"/>
    <w:qFormat/>
    <w:rsid w:val="003A7B41"/>
    <w:pPr>
      <w:keepNext/>
      <w:spacing w:before="240" w:after="60"/>
      <w:outlineLvl w:val="0"/>
    </w:pPr>
    <w:rPr>
      <w:rFonts w:ascii="Arial" w:hAnsi="Arial" w:cs="Arial"/>
      <w:b/>
      <w:bCs/>
      <w:kern w:val="32"/>
      <w:sz w:val="32"/>
      <w:szCs w:val="32"/>
    </w:rPr>
  </w:style>
  <w:style w:type="paragraph" w:styleId="4">
    <w:name w:val="heading 4"/>
    <w:basedOn w:val="a0"/>
    <w:next w:val="a0"/>
    <w:qFormat/>
    <w:rsid w:val="003A7B41"/>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rsid w:val="003A7B41"/>
    <w:pPr>
      <w:tabs>
        <w:tab w:val="center" w:pos="4153"/>
        <w:tab w:val="right" w:pos="8306"/>
      </w:tabs>
    </w:pPr>
  </w:style>
  <w:style w:type="paragraph" w:styleId="a5">
    <w:name w:val="footer"/>
    <w:basedOn w:val="a0"/>
    <w:rsid w:val="003A7B41"/>
    <w:pPr>
      <w:tabs>
        <w:tab w:val="center" w:pos="4153"/>
        <w:tab w:val="right" w:pos="8306"/>
      </w:tabs>
    </w:pPr>
  </w:style>
  <w:style w:type="character" w:styleId="a6">
    <w:name w:val="annotation reference"/>
    <w:basedOn w:val="a1"/>
    <w:semiHidden/>
    <w:rsid w:val="003A7B41"/>
    <w:rPr>
      <w:sz w:val="16"/>
      <w:szCs w:val="16"/>
    </w:rPr>
  </w:style>
  <w:style w:type="paragraph" w:styleId="a7">
    <w:name w:val="annotation text"/>
    <w:basedOn w:val="a0"/>
    <w:semiHidden/>
    <w:rsid w:val="003A7B41"/>
    <w:rPr>
      <w:rFonts w:cs="Times New Roman"/>
      <w:lang w:eastAsia="he-IL"/>
    </w:rPr>
  </w:style>
  <w:style w:type="paragraph" w:styleId="a8">
    <w:name w:val="Balloon Text"/>
    <w:basedOn w:val="a0"/>
    <w:semiHidden/>
    <w:rsid w:val="003A7B41"/>
    <w:rPr>
      <w:rFonts w:ascii="Tahoma" w:hAnsi="Tahoma" w:cs="Tahoma"/>
      <w:sz w:val="16"/>
      <w:szCs w:val="16"/>
    </w:rPr>
  </w:style>
  <w:style w:type="table" w:styleId="a9">
    <w:name w:val="Table Grid"/>
    <w:basedOn w:val="a2"/>
    <w:rsid w:val="003A7B41"/>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age number"/>
    <w:basedOn w:val="a1"/>
    <w:rsid w:val="00BD67E7"/>
  </w:style>
  <w:style w:type="character" w:styleId="ab">
    <w:name w:val="Placeholder Text"/>
    <w:basedOn w:val="a1"/>
    <w:uiPriority w:val="99"/>
    <w:semiHidden/>
    <w:rsid w:val="003D7D8A"/>
    <w:rPr>
      <w:color w:val="808080"/>
    </w:rPr>
  </w:style>
  <w:style w:type="character" w:customStyle="1" w:styleId="ac">
    <w:name w:val="פיסקת רשימה תו"/>
    <w:link w:val="ad"/>
    <w:uiPriority w:val="34"/>
    <w:locked/>
    <w:rsid w:val="00D218EB"/>
    <w:rPr>
      <w:rFonts w:cs="David"/>
      <w:sz w:val="24"/>
      <w:szCs w:val="24"/>
    </w:rPr>
  </w:style>
  <w:style w:type="paragraph" w:styleId="ad">
    <w:name w:val="List Paragraph"/>
    <w:basedOn w:val="a0"/>
    <w:link w:val="ac"/>
    <w:uiPriority w:val="34"/>
    <w:qFormat/>
    <w:rsid w:val="00D218EB"/>
    <w:pPr>
      <w:ind w:left="720"/>
      <w:contextualSpacing/>
    </w:pPr>
  </w:style>
  <w:style w:type="paragraph" w:customStyle="1" w:styleId="a">
    <w:name w:val="ממוספר"/>
    <w:basedOn w:val="a0"/>
    <w:rsid w:val="00D218EB"/>
    <w:pPr>
      <w:numPr>
        <w:numId w:val="3"/>
      </w:numPr>
      <w:spacing w:after="120" w:line="360" w:lineRule="auto"/>
    </w:pPr>
    <w:rPr>
      <w:rFonts w:ascii="David" w:hAnsi="David"/>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1489">
      <w:bodyDiv w:val="1"/>
      <w:marLeft w:val="0"/>
      <w:marRight w:val="0"/>
      <w:marTop w:val="0"/>
      <w:marBottom w:val="0"/>
      <w:divBdr>
        <w:top w:val="none" w:sz="0" w:space="0" w:color="auto"/>
        <w:left w:val="none" w:sz="0" w:space="0" w:color="auto"/>
        <w:bottom w:val="none" w:sz="0" w:space="0" w:color="auto"/>
        <w:right w:val="none" w:sz="0" w:space="0" w:color="auto"/>
      </w:divBdr>
    </w:div>
    <w:div w:id="100803766">
      <w:bodyDiv w:val="1"/>
      <w:marLeft w:val="0"/>
      <w:marRight w:val="0"/>
      <w:marTop w:val="0"/>
      <w:marBottom w:val="0"/>
      <w:divBdr>
        <w:top w:val="none" w:sz="0" w:space="0" w:color="auto"/>
        <w:left w:val="none" w:sz="0" w:space="0" w:color="auto"/>
        <w:bottom w:val="none" w:sz="0" w:space="0" w:color="auto"/>
        <w:right w:val="none" w:sz="0" w:space="0" w:color="auto"/>
      </w:divBdr>
    </w:div>
    <w:div w:id="306981484">
      <w:bodyDiv w:val="1"/>
      <w:marLeft w:val="0"/>
      <w:marRight w:val="0"/>
      <w:marTop w:val="0"/>
      <w:marBottom w:val="0"/>
      <w:divBdr>
        <w:top w:val="none" w:sz="0" w:space="0" w:color="auto"/>
        <w:left w:val="none" w:sz="0" w:space="0" w:color="auto"/>
        <w:bottom w:val="none" w:sz="0" w:space="0" w:color="auto"/>
        <w:right w:val="none" w:sz="0" w:space="0" w:color="auto"/>
      </w:divBdr>
    </w:div>
    <w:div w:id="368073728">
      <w:bodyDiv w:val="1"/>
      <w:marLeft w:val="0"/>
      <w:marRight w:val="0"/>
      <w:marTop w:val="0"/>
      <w:marBottom w:val="0"/>
      <w:divBdr>
        <w:top w:val="none" w:sz="0" w:space="0" w:color="auto"/>
        <w:left w:val="none" w:sz="0" w:space="0" w:color="auto"/>
        <w:bottom w:val="none" w:sz="0" w:space="0" w:color="auto"/>
        <w:right w:val="none" w:sz="0" w:space="0" w:color="auto"/>
      </w:divBdr>
    </w:div>
    <w:div w:id="395974773">
      <w:bodyDiv w:val="1"/>
      <w:marLeft w:val="0"/>
      <w:marRight w:val="0"/>
      <w:marTop w:val="0"/>
      <w:marBottom w:val="0"/>
      <w:divBdr>
        <w:top w:val="none" w:sz="0" w:space="0" w:color="auto"/>
        <w:left w:val="none" w:sz="0" w:space="0" w:color="auto"/>
        <w:bottom w:val="none" w:sz="0" w:space="0" w:color="auto"/>
        <w:right w:val="none" w:sz="0" w:space="0" w:color="auto"/>
      </w:divBdr>
    </w:div>
    <w:div w:id="763649062">
      <w:bodyDiv w:val="1"/>
      <w:marLeft w:val="0"/>
      <w:marRight w:val="0"/>
      <w:marTop w:val="0"/>
      <w:marBottom w:val="0"/>
      <w:divBdr>
        <w:top w:val="none" w:sz="0" w:space="0" w:color="auto"/>
        <w:left w:val="none" w:sz="0" w:space="0" w:color="auto"/>
        <w:bottom w:val="none" w:sz="0" w:space="0" w:color="auto"/>
        <w:right w:val="none" w:sz="0" w:space="0" w:color="auto"/>
      </w:divBdr>
    </w:div>
    <w:div w:id="1242985817">
      <w:bodyDiv w:val="1"/>
      <w:marLeft w:val="0"/>
      <w:marRight w:val="0"/>
      <w:marTop w:val="0"/>
      <w:marBottom w:val="0"/>
      <w:divBdr>
        <w:top w:val="none" w:sz="0" w:space="0" w:color="auto"/>
        <w:left w:val="none" w:sz="0" w:space="0" w:color="auto"/>
        <w:bottom w:val="none" w:sz="0" w:space="0" w:color="auto"/>
        <w:right w:val="none" w:sz="0" w:space="0" w:color="auto"/>
      </w:divBdr>
    </w:div>
    <w:div w:id="1377268971">
      <w:bodyDiv w:val="1"/>
      <w:marLeft w:val="0"/>
      <w:marRight w:val="0"/>
      <w:marTop w:val="0"/>
      <w:marBottom w:val="0"/>
      <w:divBdr>
        <w:top w:val="none" w:sz="0" w:space="0" w:color="auto"/>
        <w:left w:val="none" w:sz="0" w:space="0" w:color="auto"/>
        <w:bottom w:val="none" w:sz="0" w:space="0" w:color="auto"/>
        <w:right w:val="none" w:sz="0" w:space="0" w:color="auto"/>
      </w:divBdr>
    </w:div>
    <w:div w:id="1553006672">
      <w:bodyDiv w:val="1"/>
      <w:marLeft w:val="0"/>
      <w:marRight w:val="0"/>
      <w:marTop w:val="0"/>
      <w:marBottom w:val="0"/>
      <w:divBdr>
        <w:top w:val="none" w:sz="0" w:space="0" w:color="auto"/>
        <w:left w:val="none" w:sz="0" w:space="0" w:color="auto"/>
        <w:bottom w:val="none" w:sz="0" w:space="0" w:color="auto"/>
        <w:right w:val="none" w:sz="0" w:space="0" w:color="auto"/>
      </w:divBdr>
    </w:div>
    <w:div w:id="1733968590">
      <w:bodyDiv w:val="1"/>
      <w:marLeft w:val="0"/>
      <w:marRight w:val="0"/>
      <w:marTop w:val="0"/>
      <w:marBottom w:val="0"/>
      <w:divBdr>
        <w:top w:val="none" w:sz="0" w:space="0" w:color="auto"/>
        <w:left w:val="none" w:sz="0" w:space="0" w:color="auto"/>
        <w:bottom w:val="none" w:sz="0" w:space="0" w:color="auto"/>
        <w:right w:val="none" w:sz="0" w:space="0" w:color="auto"/>
      </w:divBdr>
    </w:div>
    <w:div w:id="1749225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79E22585710421C8C89FB185AEA4F29"/>
        <w:category>
          <w:name w:val="כללי"/>
          <w:gallery w:val="placeholder"/>
        </w:category>
        <w:types>
          <w:type w:val="bbPlcHdr"/>
        </w:types>
        <w:behaviors>
          <w:behavior w:val="content"/>
        </w:behaviors>
        <w:guid w:val="{51A7D7BC-3F7B-41CC-978C-2D89DEE0E588}"/>
      </w:docPartPr>
      <w:docPartBody>
        <w:p w:rsidR="00311E12" w:rsidRDefault="00EE528B" w:rsidP="00EE528B">
          <w:pPr>
            <w:pStyle w:val="779E22585710421C8C89FB185AEA4F295"/>
          </w:pPr>
          <w:r>
            <w:rPr>
              <w:rFonts w:ascii="Arial" w:hAnsi="Arial"/>
              <w:b/>
              <w:bCs/>
              <w:sz w:val="26"/>
              <w:szCs w:val="26"/>
              <w:rtl/>
            </w:rPr>
            <w:t>שם צד א' ללא שם של חסוי</w:t>
          </w:r>
        </w:p>
      </w:docPartBody>
    </w:docPart>
    <w:docPart>
      <w:docPartPr>
        <w:name w:val="010484D989C74E84A895BCF1D17B4C1C"/>
        <w:category>
          <w:name w:val="כללי"/>
          <w:gallery w:val="placeholder"/>
        </w:category>
        <w:types>
          <w:type w:val="bbPlcHdr"/>
        </w:types>
        <w:behaviors>
          <w:behavior w:val="content"/>
        </w:behaviors>
        <w:guid w:val="{684A132F-3854-4118-9297-B41D678C0160}"/>
      </w:docPartPr>
      <w:docPartBody>
        <w:p w:rsidR="00311E12" w:rsidRDefault="00EE528B" w:rsidP="00EE528B">
          <w:pPr>
            <w:pStyle w:val="010484D989C74E84A895BCF1D17B4C1C5"/>
          </w:pPr>
          <w:r>
            <w:rPr>
              <w:rFonts w:ascii="Arial" w:hAnsi="Arial"/>
              <w:b/>
              <w:bCs/>
              <w:sz w:val="26"/>
              <w:szCs w:val="26"/>
              <w:rtl/>
            </w:rPr>
            <w:t>שם צד ב' ללא שם של חסוי</w:t>
          </w:r>
        </w:p>
      </w:docPartBody>
    </w:docPart>
    <w:docPart>
      <w:docPartPr>
        <w:name w:val="4C499F2ED676413B965A992DD16BA968"/>
        <w:category>
          <w:name w:val="כללי"/>
          <w:gallery w:val="placeholder"/>
        </w:category>
        <w:types>
          <w:type w:val="bbPlcHdr"/>
        </w:types>
        <w:behaviors>
          <w:behavior w:val="content"/>
        </w:behaviors>
        <w:guid w:val="{2883D430-7C8D-4110-96F7-B268F6B537F4}"/>
      </w:docPartPr>
      <w:docPartBody>
        <w:p w:rsidR="00AF3697" w:rsidRDefault="00707E4C" w:rsidP="00707E4C">
          <w:pPr>
            <w:pStyle w:val="4C499F2ED676413B965A992DD16BA9682"/>
          </w:pPr>
          <w:r>
            <w:rPr>
              <w:rFonts w:ascii="Arial" w:hAnsi="Arial" w:hint="cs"/>
              <w:b/>
              <w:bCs/>
              <w:sz w:val="26"/>
              <w:szCs w:val="26"/>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W1)">
    <w:altName w:val="Times New Roman"/>
    <w:charset w:val="00"/>
    <w:family w:val="roman"/>
    <w:pitch w:val="variable"/>
    <w:sig w:usb0="20007A87" w:usb1="80000000" w:usb2="00000008"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3980"/>
    <w:rsid w:val="00311E12"/>
    <w:rsid w:val="00313980"/>
    <w:rsid w:val="00604245"/>
    <w:rsid w:val="00707E4C"/>
    <w:rsid w:val="00A91BD2"/>
    <w:rsid w:val="00AF3697"/>
    <w:rsid w:val="00CC13F5"/>
    <w:rsid w:val="00EE528B"/>
    <w:rsid w:val="00F33DDD"/>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707E4C"/>
    <w:rPr>
      <w:color w:val="808080"/>
    </w:rPr>
  </w:style>
  <w:style w:type="paragraph" w:customStyle="1" w:styleId="779E22585710421C8C89FB185AEA4F295">
    <w:name w:val="779E22585710421C8C89FB185AEA4F295"/>
    <w:rsid w:val="00EE528B"/>
    <w:pPr>
      <w:bidi/>
      <w:spacing w:after="0" w:line="240" w:lineRule="auto"/>
    </w:pPr>
    <w:rPr>
      <w:rFonts w:ascii="Times New Roman" w:eastAsia="Times New Roman" w:hAnsi="Times New Roman" w:cs="David"/>
      <w:sz w:val="24"/>
      <w:szCs w:val="24"/>
    </w:rPr>
  </w:style>
  <w:style w:type="paragraph" w:customStyle="1" w:styleId="010484D989C74E84A895BCF1D17B4C1C5">
    <w:name w:val="010484D989C74E84A895BCF1D17B4C1C5"/>
    <w:rsid w:val="00EE528B"/>
    <w:pPr>
      <w:bidi/>
      <w:spacing w:after="0" w:line="240" w:lineRule="auto"/>
    </w:pPr>
    <w:rPr>
      <w:rFonts w:ascii="Times New Roman" w:eastAsia="Times New Roman" w:hAnsi="Times New Roman" w:cs="David"/>
      <w:sz w:val="24"/>
      <w:szCs w:val="24"/>
    </w:rPr>
  </w:style>
  <w:style w:type="paragraph" w:customStyle="1" w:styleId="4C499F2ED676413B965A992DD16BA9682">
    <w:name w:val="4C499F2ED676413B965A992DD16BA9682"/>
    <w:rsid w:val="00707E4C"/>
    <w:pPr>
      <w:bidi/>
      <w:spacing w:after="0" w:line="240" w:lineRule="auto"/>
    </w:pPr>
    <w:rPr>
      <w:rFonts w:ascii="Times New Roman" w:eastAsia="Times New Roman" w:hAnsi="Times New Roman" w:cs="David"/>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3907</Words>
  <Characters>19537</Characters>
  <Application>Microsoft Office Word</Application>
  <DocSecurity>4</DocSecurity>
  <Lines>162</Lines>
  <Paragraphs>46</Paragraphs>
  <ScaleCrop>false</ScaleCrop>
  <Company>Microsoft Corporation</Company>
  <LinksUpToDate>false</LinksUpToDate>
  <CharactersWithSpaces>23398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לאון קמלמן</cp:lastModifiedBy>
  <cp:revision>2</cp:revision>
  <dcterms:created xsi:type="dcterms:W3CDTF">2025-05-07T07:11:00Z</dcterms:created>
  <dcterms:modified xsi:type="dcterms:W3CDTF">2025-05-07T07:11:00Z</dcterms:modified>
</cp:coreProperties>
</file>